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glossary/document.xml" ContentType="application/vnd.openxmlformats-officedocument.wordprocessingml.document.glossary+xml"/>
  <Override PartName="/word/glossary/fontTable.xml" ContentType="application/vnd.openxmlformats-officedocument.wordprocessingml.fontTable+xml"/>
  <Override PartName="/word/glossary/settings.xml" ContentType="application/vnd.openxmlformats-officedocument.wordprocessingml.settings+xml"/>
  <Override PartName="/word/glossary/styles.xml" ContentType="application/vnd.openxmlformats-officedocument.wordprocessingml.styl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CD4C0A1">
      <w:pPr>
        <w:keepLines w:val="0"/>
        <w:pBdr>
          <w:top w:val="none" w:color="auto" w:sz="0" w:space="1"/>
          <w:left w:val="none" w:color="auto" w:sz="0" w:space="4"/>
          <w:bottom w:val="none" w:color="auto" w:sz="0" w:space="1"/>
          <w:right w:val="none" w:color="auto" w:sz="0" w:space="4"/>
          <w:between w:val="none" w:color="auto" w:sz="0" w:space="0"/>
        </w:pBdr>
        <w:kinsoku/>
        <w:wordWrap/>
        <w:overflowPunct/>
        <w:topLinePunct w:val="0"/>
        <w:bidi w:val="0"/>
        <w:spacing w:line="240" w:lineRule="auto"/>
        <w:jc w:val="right"/>
        <w:rPr>
          <w:rFonts w:hint="eastAsia" w:ascii="黑体" w:hAnsi="黑体" w:eastAsia="黑体" w:cs="黑体"/>
          <w:spacing w:val="750"/>
          <w:kern w:val="0"/>
        </w:rPr>
      </w:pPr>
    </w:p>
    <w:p w14:paraId="0C93C2ED">
      <w:pPr>
        <w:keepLines w:val="0"/>
        <w:kinsoku/>
        <w:wordWrap/>
        <w:overflowPunct/>
        <w:topLinePunct w:val="0"/>
        <w:bidi w:val="0"/>
        <w:spacing w:line="240" w:lineRule="auto"/>
        <w:jc w:val="right"/>
        <w:rPr>
          <w:rFonts w:hint="eastAsia" w:ascii="黑体" w:hAnsi="黑体" w:eastAsia="黑体" w:cs="黑体"/>
          <w:kern w:val="0"/>
        </w:rPr>
      </w:pPr>
      <w:r>
        <w:drawing>
          <wp:inline distT="0" distB="0" distL="114300" distR="114300">
            <wp:extent cx="744855" cy="759460"/>
            <wp:effectExtent l="0" t="0" r="7620" b="254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4">
                      <a:extLst>
                        <a:ext uri="{28A0092B-C50C-407E-A947-70E740481C1C}">
                          <a14:useLocalDpi xmlns:a14="http://schemas.microsoft.com/office/drawing/2010/main" val="0"/>
                        </a:ext>
                      </a:extLst>
                    </a:blip>
                    <a:srcRect l="18647" t="14169" r="77054" b="78038"/>
                    <a:stretch>
                      <a:fillRect/>
                    </a:stretch>
                  </pic:blipFill>
                  <pic:spPr>
                    <a:xfrm>
                      <a:off x="0" y="0"/>
                      <a:ext cx="744855" cy="759460"/>
                    </a:xfrm>
                    <a:prstGeom prst="rect">
                      <a:avLst/>
                    </a:prstGeom>
                    <a:ln>
                      <a:noFill/>
                    </a:ln>
                  </pic:spPr>
                </pic:pic>
              </a:graphicData>
            </a:graphic>
          </wp:inline>
        </w:drawing>
      </w:r>
    </w:p>
    <w:p w14:paraId="43498204">
      <w:pPr>
        <w:keepLines w:val="0"/>
        <w:kinsoku/>
        <w:wordWrap/>
        <w:overflowPunct/>
        <w:topLinePunct w:val="0"/>
        <w:bidi w:val="0"/>
        <w:spacing w:line="240" w:lineRule="auto"/>
        <w:jc w:val="right"/>
        <w:rPr>
          <w:rFonts w:hint="default" w:ascii="Times New Roman" w:hAnsi="Times New Roman" w:eastAsia="微软雅黑" w:cs="Times New Roman"/>
          <w:b/>
          <w:sz w:val="28"/>
          <w:szCs w:val="28"/>
          <w:lang w:val="en-US" w:eastAsia="zh-CN"/>
        </w:rPr>
      </w:pPr>
      <w:r>
        <w:rPr>
          <w:rFonts w:hint="eastAsia" w:ascii="Times New Roman" w:hAnsi="Times New Roman" w:eastAsia="方正小标宋简体" w:cs="Times New Roman"/>
          <w:spacing w:val="240"/>
          <w:kern w:val="0"/>
          <w:sz w:val="72"/>
          <w:szCs w:val="72"/>
          <w:fitText w:val="9360" w:id="1328446230"/>
        </w:rPr>
        <w:t>团</w:t>
      </w:r>
      <w:r>
        <w:rPr>
          <w:rFonts w:ascii="Times New Roman" w:hAnsi="Times New Roman" w:eastAsia="方正小标宋简体" w:cs="Times New Roman"/>
          <w:spacing w:val="240"/>
          <w:kern w:val="0"/>
          <w:sz w:val="72"/>
          <w:szCs w:val="72"/>
          <w:fitText w:val="9360" w:id="1328446230"/>
        </w:rPr>
        <w:t xml:space="preserve">  </w:t>
      </w:r>
      <w:r>
        <w:rPr>
          <w:rFonts w:hint="eastAsia" w:ascii="Times New Roman" w:hAnsi="Times New Roman" w:eastAsia="方正小标宋简体" w:cs="Times New Roman"/>
          <w:spacing w:val="240"/>
          <w:kern w:val="0"/>
          <w:sz w:val="72"/>
          <w:szCs w:val="72"/>
          <w:fitText w:val="9360" w:id="1328446230"/>
        </w:rPr>
        <w:t>体</w:t>
      </w:r>
      <w:r>
        <w:rPr>
          <w:rFonts w:ascii="Times New Roman" w:hAnsi="Times New Roman" w:eastAsia="方正小标宋简体" w:cs="Times New Roman"/>
          <w:spacing w:val="240"/>
          <w:kern w:val="0"/>
          <w:sz w:val="72"/>
          <w:szCs w:val="72"/>
          <w:fitText w:val="9360" w:id="1328446230"/>
        </w:rPr>
        <w:t xml:space="preserve">  </w:t>
      </w:r>
      <w:r>
        <w:rPr>
          <w:rFonts w:hint="eastAsia" w:ascii="Times New Roman" w:hAnsi="Times New Roman" w:eastAsia="方正小标宋简体" w:cs="Times New Roman"/>
          <w:spacing w:val="240"/>
          <w:kern w:val="0"/>
          <w:sz w:val="72"/>
          <w:szCs w:val="72"/>
          <w:fitText w:val="9360" w:id="1328446230"/>
        </w:rPr>
        <w:t>标</w:t>
      </w:r>
      <w:r>
        <w:rPr>
          <w:rFonts w:ascii="Times New Roman" w:hAnsi="Times New Roman" w:eastAsia="方正小标宋简体" w:cs="Times New Roman"/>
          <w:spacing w:val="240"/>
          <w:kern w:val="0"/>
          <w:sz w:val="72"/>
          <w:szCs w:val="72"/>
          <w:fitText w:val="9360" w:id="1328446230"/>
        </w:rPr>
        <w:t xml:space="preserve">  </w:t>
      </w:r>
      <w:r>
        <w:rPr>
          <w:rFonts w:hint="eastAsia" w:ascii="Times New Roman" w:hAnsi="Times New Roman" w:eastAsia="方正小标宋简体" w:cs="Times New Roman"/>
          <w:spacing w:val="0"/>
          <w:kern w:val="0"/>
          <w:sz w:val="72"/>
          <w:szCs w:val="72"/>
          <w:fitText w:val="9360" w:id="1328446230"/>
        </w:rPr>
        <w:t>准</w:t>
      </w:r>
      <w:bookmarkStart w:id="0" w:name="_Hlk203494660"/>
      <w:r>
        <w:rPr>
          <w:rFonts w:ascii="Times New Roman" w:hAnsi="Times New Roman" w:eastAsia="方正小标宋简体" w:cs="Times New Roman"/>
          <w:b/>
          <w:spacing w:val="6"/>
          <w:sz w:val="28"/>
          <w:szCs w:val="28"/>
        </w:rPr>
        <w:t>T/CECA-</w:t>
      </w:r>
      <w:r>
        <w:rPr>
          <w:rFonts w:hint="eastAsia" w:ascii="Times New Roman" w:hAnsi="Times New Roman" w:eastAsia="方正小标宋简体" w:cs="Times New Roman"/>
          <w:b/>
          <w:spacing w:val="6"/>
          <w:sz w:val="28"/>
          <w:szCs w:val="28"/>
          <w:lang w:eastAsia="zh-CN"/>
        </w:rPr>
        <w:t xml:space="preserve">G </w:t>
      </w:r>
      <w:r>
        <w:rPr>
          <w:rFonts w:hint="eastAsia" w:ascii="Times New Roman" w:hAnsi="Times New Roman" w:eastAsia="方正小标宋简体" w:cs="Times New Roman"/>
          <w:b/>
          <w:spacing w:val="6"/>
          <w:sz w:val="28"/>
          <w:szCs w:val="28"/>
          <w:lang w:val="en-US" w:eastAsia="zh-CN"/>
        </w:rPr>
        <w:t>X</w:t>
      </w:r>
      <w:r>
        <w:rPr>
          <w:rFonts w:hint="eastAsia" w:ascii="Times New Roman" w:hAnsi="Times New Roman" w:eastAsia="方正小标宋简体" w:cs="Times New Roman"/>
          <w:b/>
          <w:spacing w:val="6"/>
          <w:sz w:val="28"/>
          <w:szCs w:val="28"/>
          <w:lang w:eastAsia="zh-CN"/>
        </w:rPr>
        <w:t>XXX</w:t>
      </w:r>
      <w:r>
        <w:rPr>
          <w:rFonts w:ascii="Times New Roman" w:hAnsi="Times New Roman" w:eastAsia="微软雅黑" w:cs="Times New Roman"/>
          <w:b/>
          <w:spacing w:val="6"/>
          <w:sz w:val="28"/>
          <w:szCs w:val="28"/>
        </w:rPr>
        <w:t>—20</w:t>
      </w:r>
      <w:bookmarkEnd w:id="0"/>
      <w:r>
        <w:rPr>
          <w:rFonts w:hint="eastAsia" w:ascii="Times New Roman" w:hAnsi="Times New Roman" w:eastAsia="微软雅黑" w:cs="Times New Roman"/>
          <w:b/>
          <w:spacing w:val="6"/>
          <w:sz w:val="28"/>
          <w:szCs w:val="28"/>
          <w:lang w:val="en-US" w:eastAsia="zh-CN"/>
        </w:rPr>
        <w:t>26</w:t>
      </w:r>
    </w:p>
    <w:p w14:paraId="0E27AC23">
      <w:pPr>
        <w:keepLines w:val="0"/>
        <w:kinsoku/>
        <w:wordWrap/>
        <w:overflowPunct/>
        <w:topLinePunct w:val="0"/>
        <w:bidi w:val="0"/>
        <w:spacing w:line="240" w:lineRule="auto"/>
        <w:rPr>
          <w:rFonts w:hint="eastAsia" w:ascii="黑体" w:hAnsi="黑体" w:eastAsia="黑体" w:cs="黑体"/>
          <w:sz w:val="48"/>
          <w:szCs w:val="48"/>
        </w:rPr>
      </w:pPr>
      <w:r>
        <w:rPr>
          <w:rFonts w:hint="eastAsia" w:ascii="黑体" w:hAnsi="黑体" w:eastAsia="黑体" w:cs="黑体"/>
          <w:sz w:val="48"/>
          <w:szCs w:val="48"/>
        </w:rPr>
        <mc:AlternateContent>
          <mc:Choice Requires="wps">
            <w:drawing>
              <wp:anchor distT="0" distB="0" distL="114300" distR="114300" simplePos="0" relativeHeight="251659264" behindDoc="0" locked="0" layoutInCell="1" allowOverlap="1">
                <wp:simplePos x="0" y="0"/>
                <wp:positionH relativeFrom="column">
                  <wp:posOffset>-102870</wp:posOffset>
                </wp:positionH>
                <wp:positionV relativeFrom="paragraph">
                  <wp:posOffset>12700</wp:posOffset>
                </wp:positionV>
                <wp:extent cx="6098540" cy="0"/>
                <wp:effectExtent l="0" t="4445" r="6985" b="5080"/>
                <wp:wrapNone/>
                <wp:docPr id="2" name="自选图形 2"/>
                <wp:cNvGraphicFramePr/>
                <a:graphic xmlns:a="http://schemas.openxmlformats.org/drawingml/2006/main">
                  <a:graphicData uri="http://schemas.microsoft.com/office/word/2010/wordprocessingShape">
                    <wps:wsp>
                      <wps:cNvCnPr/>
                      <wps:spPr>
                        <a:xfrm>
                          <a:off x="0" y="0"/>
                          <a:ext cx="6098540" cy="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自选图形 2" o:spid="_x0000_s1026" o:spt="32" type="#_x0000_t32" style="position:absolute;left:0pt;margin-left:-8.1pt;margin-top:1pt;height:0pt;width:480.2pt;z-index:251659264;mso-width-relative:page;mso-height-relative:page;" filled="f" stroked="t" coordsize="21600,21600" o:gfxdata="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Dkzi9e1AAAAAcBAAAPAAAAAAAAAAEAIAAAACIAAABkcnMvZG93bnJldi54bWxQSwECFAAU&#10;AAAACACHTuJAfaGjefUBAADjAwAADgAAAAAAAAABACAAAAAjAQAAZHJzL2Uyb0RvYy54bWxQSwUG&#10;AAAAAAYABgBZAQAAigUAAAAA&#10;">
                <v:fill on="f" focussize="0,0"/>
                <v:stroke color="#000000" joinstyle="round"/>
                <v:imagedata o:title=""/>
                <o:lock v:ext="edit" aspectratio="f"/>
              </v:shape>
            </w:pict>
          </mc:Fallback>
        </mc:AlternateContent>
      </w:r>
    </w:p>
    <w:p w14:paraId="5C1D82DF">
      <w:pPr>
        <w:keepLines w:val="0"/>
        <w:kinsoku/>
        <w:wordWrap/>
        <w:overflowPunct/>
        <w:topLinePunct w:val="0"/>
        <w:bidi w:val="0"/>
        <w:spacing w:line="240" w:lineRule="auto"/>
        <w:rPr>
          <w:rFonts w:hint="eastAsia" w:ascii="黑体" w:hAnsi="黑体" w:eastAsia="黑体" w:cs="黑体"/>
          <w:sz w:val="48"/>
          <w:szCs w:val="48"/>
        </w:rPr>
      </w:pPr>
    </w:p>
    <w:p w14:paraId="4B214AA8">
      <w:pPr>
        <w:keepLines w:val="0"/>
        <w:kinsoku/>
        <w:wordWrap/>
        <w:overflowPunct/>
        <w:topLinePunct w:val="0"/>
        <w:bidi w:val="0"/>
        <w:spacing w:line="240" w:lineRule="auto"/>
        <w:rPr>
          <w:rFonts w:hint="eastAsia" w:ascii="黑体" w:hAnsi="黑体" w:eastAsia="黑体" w:cs="黑体"/>
          <w:sz w:val="48"/>
          <w:szCs w:val="48"/>
        </w:rPr>
      </w:pPr>
    </w:p>
    <w:p w14:paraId="26CD11EF">
      <w:pPr>
        <w:keepLines w:val="0"/>
        <w:kinsoku/>
        <w:wordWrap/>
        <w:overflowPunct/>
        <w:topLinePunct w:val="0"/>
        <w:bidi w:val="0"/>
        <w:spacing w:line="240" w:lineRule="auto"/>
        <w:rPr>
          <w:rFonts w:hint="eastAsia" w:ascii="黑体" w:hAnsi="黑体" w:eastAsia="黑体" w:cs="黑体"/>
          <w:sz w:val="48"/>
          <w:szCs w:val="48"/>
        </w:rPr>
      </w:pPr>
    </w:p>
    <w:p w14:paraId="79E136A1">
      <w:pPr>
        <w:keepLines w:val="0"/>
        <w:widowControl/>
        <w:kinsoku/>
        <w:wordWrap/>
        <w:overflowPunct/>
        <w:topLinePunct w:val="0"/>
        <w:bidi w:val="0"/>
        <w:spacing w:before="156" w:beforeLines="50" w:line="240" w:lineRule="auto"/>
        <w:jc w:val="center"/>
        <w:rPr>
          <w:rFonts w:hint="default" w:ascii="Times New Roman" w:hAnsi="Times New Roman" w:eastAsia="黑体" w:cs="Times New Roman"/>
          <w:b w:val="0"/>
          <w:bCs/>
          <w:sz w:val="52"/>
          <w:szCs w:val="52"/>
          <w:lang w:val="en-US" w:eastAsia="zh-CN"/>
        </w:rPr>
      </w:pPr>
      <w:r>
        <w:rPr>
          <w:rFonts w:hint="eastAsia" w:ascii="Times New Roman" w:hAnsi="Times New Roman" w:eastAsia="黑体" w:cs="Times New Roman"/>
          <w:b w:val="0"/>
          <w:bCs/>
          <w:sz w:val="52"/>
          <w:szCs w:val="52"/>
          <w:lang w:val="en-US" w:eastAsia="zh-CN"/>
        </w:rPr>
        <w:t>能源费用托管服务评价技术要求</w:t>
      </w:r>
    </w:p>
    <w:p w14:paraId="2536F364">
      <w:pPr>
        <w:pStyle w:val="23"/>
        <w:keepLines w:val="0"/>
        <w:kinsoku/>
        <w:wordWrap/>
        <w:overflowPunct/>
        <w:topLinePunct w:val="0"/>
        <w:bidi w:val="0"/>
        <w:spacing w:line="240" w:lineRule="auto"/>
        <w:textAlignment w:val="bottom"/>
        <w:rPr>
          <w:rFonts w:hint="default" w:eastAsia="黑体"/>
          <w:szCs w:val="28"/>
          <w:lang w:val="en-US" w:eastAsia="zh-CN"/>
        </w:rPr>
      </w:pPr>
      <w:r>
        <w:rPr>
          <w:rFonts w:hint="eastAsia" w:eastAsia="黑体"/>
          <w:szCs w:val="28"/>
          <w:lang w:val="en-US" w:eastAsia="zh-CN"/>
        </w:rPr>
        <w:t>Technical requirements for evaluation of energy cost outsourcing service</w:t>
      </w:r>
    </w:p>
    <w:p w14:paraId="02AECCB2">
      <w:pPr>
        <w:keepLines w:val="0"/>
        <w:kinsoku/>
        <w:wordWrap/>
        <w:overflowPunct/>
        <w:topLinePunct w:val="0"/>
        <w:bidi w:val="0"/>
        <w:spacing w:before="120" w:beforeLines="50" w:line="240" w:lineRule="auto"/>
        <w:jc w:val="center"/>
        <w:rPr>
          <w:rFonts w:hint="eastAsia" w:ascii="方正楷体_GBK" w:hAnsi="方正楷体_GBK" w:eastAsia="方正楷体_GBK" w:cs="方正楷体_GBK"/>
          <w:color w:val="000000"/>
          <w:kern w:val="0"/>
          <w:sz w:val="28"/>
          <w:shd w:val="clear" w:color="auto" w:fill="FFFFFF"/>
        </w:rPr>
      </w:pPr>
      <w:r>
        <w:rPr>
          <w:rFonts w:hint="eastAsia" w:ascii="方正楷体_GBK" w:hAnsi="方正楷体_GBK" w:eastAsia="方正楷体_GBK" w:cs="方正楷体_GBK"/>
          <w:color w:val="000000"/>
          <w:kern w:val="0"/>
          <w:sz w:val="28"/>
          <w:shd w:val="clear" w:color="auto" w:fill="FFFFFF"/>
        </w:rPr>
        <w:t>（</w:t>
      </w:r>
      <w:r>
        <w:rPr>
          <w:rFonts w:hint="eastAsia" w:ascii="方正楷体_GBK" w:hAnsi="方正楷体_GBK" w:eastAsia="方正楷体_GBK" w:cs="方正楷体_GBK"/>
          <w:color w:val="000000"/>
          <w:kern w:val="0"/>
          <w:sz w:val="28"/>
          <w:shd w:val="clear" w:color="auto" w:fill="FFFFFF"/>
          <w:lang w:val="en-US" w:eastAsia="zh-CN"/>
        </w:rPr>
        <w:t>征求意见稿</w:t>
      </w:r>
      <w:r>
        <w:rPr>
          <w:rFonts w:hint="eastAsia" w:ascii="方正楷体_GBK" w:hAnsi="方正楷体_GBK" w:eastAsia="方正楷体_GBK" w:cs="方正楷体_GBK"/>
          <w:color w:val="000000"/>
          <w:kern w:val="0"/>
          <w:sz w:val="28"/>
          <w:shd w:val="clear" w:color="auto" w:fill="FFFFFF"/>
        </w:rPr>
        <w:t>）</w:t>
      </w:r>
    </w:p>
    <w:p w14:paraId="5D2578AC">
      <w:pPr>
        <w:keepLines w:val="0"/>
        <w:kinsoku/>
        <w:wordWrap/>
        <w:overflowPunct/>
        <w:topLinePunct w:val="0"/>
        <w:bidi w:val="0"/>
        <w:spacing w:before="156" w:beforeLines="50" w:after="156" w:afterLines="50" w:line="240" w:lineRule="auto"/>
        <w:jc w:val="center"/>
        <w:rPr>
          <w:rFonts w:ascii="Times New Roman" w:hAnsi="Times New Roman" w:cs="Times New Roman"/>
        </w:rPr>
      </w:pPr>
    </w:p>
    <w:p w14:paraId="7DA91756">
      <w:pPr>
        <w:keepLines w:val="0"/>
        <w:kinsoku/>
        <w:wordWrap/>
        <w:overflowPunct/>
        <w:topLinePunct w:val="0"/>
        <w:bidi w:val="0"/>
        <w:spacing w:before="156" w:beforeLines="50" w:after="156" w:afterLines="50" w:line="240" w:lineRule="auto"/>
        <w:rPr>
          <w:rFonts w:ascii="Times New Roman" w:hAnsi="Times New Roman" w:eastAsia="黑体" w:cs="Times New Roman"/>
          <w:sz w:val="24"/>
          <w:szCs w:val="24"/>
        </w:rPr>
      </w:pPr>
    </w:p>
    <w:p w14:paraId="7EAB2E98">
      <w:pPr>
        <w:keepLines w:val="0"/>
        <w:kinsoku/>
        <w:wordWrap/>
        <w:overflowPunct/>
        <w:topLinePunct w:val="0"/>
        <w:bidi w:val="0"/>
        <w:spacing w:line="240" w:lineRule="auto"/>
        <w:rPr>
          <w:rFonts w:ascii="Times New Roman" w:hAnsi="Times New Roman" w:cs="Times New Roman"/>
        </w:rPr>
      </w:pPr>
    </w:p>
    <w:p w14:paraId="4C13CEEC">
      <w:pPr>
        <w:keepLines w:val="0"/>
        <w:kinsoku/>
        <w:wordWrap/>
        <w:overflowPunct/>
        <w:topLinePunct w:val="0"/>
        <w:bidi w:val="0"/>
        <w:spacing w:line="240" w:lineRule="auto"/>
        <w:rPr>
          <w:rFonts w:ascii="Times New Roman" w:hAnsi="Times New Roman" w:cs="Times New Roman"/>
        </w:rPr>
      </w:pPr>
    </w:p>
    <w:p w14:paraId="78035E8D">
      <w:pPr>
        <w:keepLines w:val="0"/>
        <w:kinsoku/>
        <w:wordWrap/>
        <w:overflowPunct/>
        <w:topLinePunct w:val="0"/>
        <w:bidi w:val="0"/>
        <w:spacing w:line="240" w:lineRule="auto"/>
        <w:rPr>
          <w:rFonts w:ascii="Times New Roman" w:hAnsi="Times New Roman" w:cs="Times New Roman"/>
        </w:rPr>
      </w:pPr>
    </w:p>
    <w:p w14:paraId="2E32F1EF">
      <w:pPr>
        <w:keepNext w:val="0"/>
        <w:keepLines w:val="0"/>
        <w:pageBreakBefore w:val="0"/>
        <w:widowControl w:val="0"/>
        <w:kinsoku/>
        <w:wordWrap/>
        <w:overflowPunct/>
        <w:topLinePunct w:val="0"/>
        <w:autoSpaceDE/>
        <w:autoSpaceDN/>
        <w:bidi w:val="0"/>
        <w:adjustRightInd w:val="0"/>
        <w:snapToGrid w:val="0"/>
        <w:spacing w:line="240" w:lineRule="auto"/>
        <w:textAlignment w:val="auto"/>
        <w:rPr>
          <w:rFonts w:ascii="Times New Roman" w:hAnsi="Times New Roman" w:cs="Times New Roman"/>
        </w:rPr>
      </w:pPr>
    </w:p>
    <w:p w14:paraId="081D7A91">
      <w:pPr>
        <w:keepNext w:val="0"/>
        <w:keepLines w:val="0"/>
        <w:pageBreakBefore w:val="0"/>
        <w:widowControl w:val="0"/>
        <w:kinsoku/>
        <w:wordWrap/>
        <w:overflowPunct/>
        <w:topLinePunct w:val="0"/>
        <w:autoSpaceDE/>
        <w:autoSpaceDN/>
        <w:bidi w:val="0"/>
        <w:adjustRightInd w:val="0"/>
        <w:snapToGrid w:val="0"/>
        <w:spacing w:line="240" w:lineRule="auto"/>
        <w:textAlignment w:val="auto"/>
        <w:rPr>
          <w:rFonts w:ascii="Times New Roman" w:hAnsi="Times New Roman" w:cs="Times New Roman"/>
        </w:rPr>
      </w:pPr>
    </w:p>
    <w:p w14:paraId="432BF123">
      <w:pPr>
        <w:keepNext w:val="0"/>
        <w:keepLines w:val="0"/>
        <w:pageBreakBefore w:val="0"/>
        <w:widowControl w:val="0"/>
        <w:kinsoku/>
        <w:wordWrap/>
        <w:overflowPunct/>
        <w:topLinePunct w:val="0"/>
        <w:autoSpaceDE/>
        <w:autoSpaceDN/>
        <w:bidi w:val="0"/>
        <w:adjustRightInd w:val="0"/>
        <w:snapToGrid w:val="0"/>
        <w:spacing w:line="240" w:lineRule="auto"/>
        <w:textAlignment w:val="auto"/>
        <w:rPr>
          <w:rFonts w:ascii="Times New Roman" w:hAnsi="Times New Roman" w:cs="Times New Roman"/>
        </w:rPr>
      </w:pPr>
    </w:p>
    <w:p w14:paraId="3CF31E09">
      <w:pPr>
        <w:keepNext w:val="0"/>
        <w:keepLines w:val="0"/>
        <w:pageBreakBefore w:val="0"/>
        <w:widowControl w:val="0"/>
        <w:kinsoku/>
        <w:wordWrap/>
        <w:overflowPunct/>
        <w:topLinePunct w:val="0"/>
        <w:autoSpaceDE/>
        <w:autoSpaceDN/>
        <w:bidi w:val="0"/>
        <w:adjustRightInd w:val="0"/>
        <w:snapToGrid w:val="0"/>
        <w:spacing w:line="240" w:lineRule="auto"/>
        <w:textAlignment w:val="auto"/>
        <w:rPr>
          <w:rFonts w:ascii="Times New Roman" w:hAnsi="Times New Roman" w:cs="Times New Roman"/>
        </w:rPr>
      </w:pPr>
    </w:p>
    <w:p w14:paraId="23C7EBBF">
      <w:pPr>
        <w:keepNext w:val="0"/>
        <w:keepLines w:val="0"/>
        <w:pageBreakBefore w:val="0"/>
        <w:widowControl w:val="0"/>
        <w:kinsoku/>
        <w:wordWrap/>
        <w:overflowPunct/>
        <w:topLinePunct w:val="0"/>
        <w:autoSpaceDE/>
        <w:autoSpaceDN/>
        <w:bidi w:val="0"/>
        <w:adjustRightInd w:val="0"/>
        <w:snapToGrid w:val="0"/>
        <w:spacing w:line="240" w:lineRule="auto"/>
        <w:textAlignment w:val="auto"/>
        <w:rPr>
          <w:rFonts w:ascii="Times New Roman" w:hAnsi="Times New Roman" w:cs="Times New Roman"/>
        </w:rPr>
      </w:pPr>
    </w:p>
    <w:p w14:paraId="67F07043">
      <w:pPr>
        <w:keepNext w:val="0"/>
        <w:keepLines w:val="0"/>
        <w:pageBreakBefore w:val="0"/>
        <w:widowControl w:val="0"/>
        <w:kinsoku/>
        <w:wordWrap/>
        <w:overflowPunct/>
        <w:topLinePunct w:val="0"/>
        <w:autoSpaceDE/>
        <w:autoSpaceDN/>
        <w:bidi w:val="0"/>
        <w:adjustRightInd w:val="0"/>
        <w:snapToGrid w:val="0"/>
        <w:spacing w:line="240" w:lineRule="auto"/>
        <w:textAlignment w:val="auto"/>
        <w:rPr>
          <w:rFonts w:ascii="Times New Roman" w:hAnsi="Times New Roman" w:cs="Times New Roman"/>
        </w:rPr>
      </w:pPr>
    </w:p>
    <w:p w14:paraId="49864757">
      <w:pPr>
        <w:keepNext w:val="0"/>
        <w:keepLines w:val="0"/>
        <w:pageBreakBefore w:val="0"/>
        <w:widowControl w:val="0"/>
        <w:kinsoku/>
        <w:wordWrap/>
        <w:overflowPunct/>
        <w:topLinePunct w:val="0"/>
        <w:autoSpaceDE/>
        <w:autoSpaceDN/>
        <w:bidi w:val="0"/>
        <w:adjustRightInd w:val="0"/>
        <w:snapToGrid w:val="0"/>
        <w:spacing w:line="240" w:lineRule="auto"/>
        <w:textAlignment w:val="auto"/>
        <w:rPr>
          <w:rFonts w:ascii="Times New Roman" w:hAnsi="Times New Roman" w:cs="Times New Roman"/>
        </w:rPr>
      </w:pPr>
    </w:p>
    <w:p w14:paraId="6791B28F">
      <w:pPr>
        <w:keepNext w:val="0"/>
        <w:keepLines w:val="0"/>
        <w:pageBreakBefore w:val="0"/>
        <w:widowControl w:val="0"/>
        <w:kinsoku/>
        <w:wordWrap/>
        <w:overflowPunct/>
        <w:topLinePunct w:val="0"/>
        <w:autoSpaceDE/>
        <w:autoSpaceDN/>
        <w:bidi w:val="0"/>
        <w:adjustRightInd w:val="0"/>
        <w:snapToGrid w:val="0"/>
        <w:spacing w:line="240" w:lineRule="auto"/>
        <w:textAlignment w:val="auto"/>
        <w:rPr>
          <w:rFonts w:ascii="Times New Roman" w:hAnsi="Times New Roman" w:cs="Times New Roman"/>
        </w:rPr>
      </w:pPr>
    </w:p>
    <w:p w14:paraId="5D6BF76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微软雅黑" w:hAnsi="微软雅黑" w:eastAsia="微软雅黑" w:cs="Times New Roman"/>
          <w:spacing w:val="6"/>
          <w:sz w:val="28"/>
          <w:szCs w:val="28"/>
        </w:rPr>
      </w:pPr>
      <w:r>
        <w:rPr>
          <w:rFonts w:hint="eastAsia" w:ascii="微软雅黑" w:hAnsi="微软雅黑" w:eastAsia="微软雅黑" w:cs="Times New Roman"/>
          <w:spacing w:val="6"/>
          <w:sz w:val="28"/>
          <w:szCs w:val="28"/>
        </w:rPr>
        <w:t>202</w:t>
      </w:r>
      <w:r>
        <w:rPr>
          <w:rFonts w:hint="eastAsia" w:ascii="微软雅黑" w:hAnsi="微软雅黑" w:eastAsia="微软雅黑" w:cs="Times New Roman"/>
          <w:spacing w:val="6"/>
          <w:sz w:val="28"/>
          <w:szCs w:val="28"/>
          <w:lang w:val="en-US" w:eastAsia="zh-CN"/>
        </w:rPr>
        <w:t>6</w:t>
      </w:r>
      <w:r>
        <w:rPr>
          <w:rFonts w:hint="eastAsia" w:ascii="微软雅黑" w:hAnsi="微软雅黑" w:eastAsia="微软雅黑" w:cs="Times New Roman"/>
          <w:spacing w:val="6"/>
          <w:sz w:val="28"/>
          <w:szCs w:val="28"/>
        </w:rPr>
        <w:t>-</w:t>
      </w:r>
      <w:r>
        <w:rPr>
          <w:rFonts w:hint="eastAsia" w:ascii="微软雅黑" w:hAnsi="微软雅黑" w:eastAsia="微软雅黑" w:cs="Times New Roman"/>
          <w:spacing w:val="6"/>
          <w:sz w:val="28"/>
          <w:szCs w:val="28"/>
          <w:lang w:val="en-US" w:eastAsia="zh-CN"/>
        </w:rPr>
        <w:t>XX</w:t>
      </w:r>
      <w:r>
        <w:rPr>
          <w:rFonts w:hint="eastAsia" w:ascii="微软雅黑" w:hAnsi="微软雅黑" w:eastAsia="微软雅黑" w:cs="Times New Roman"/>
          <w:spacing w:val="6"/>
          <w:sz w:val="28"/>
          <w:szCs w:val="28"/>
        </w:rPr>
        <w:t>-</w:t>
      </w:r>
      <w:r>
        <w:rPr>
          <w:rFonts w:hint="eastAsia" w:ascii="微软雅黑" w:hAnsi="微软雅黑" w:eastAsia="微软雅黑" w:cs="Times New Roman"/>
          <w:spacing w:val="6"/>
          <w:sz w:val="28"/>
          <w:szCs w:val="28"/>
          <w:lang w:val="en-US" w:eastAsia="zh-CN"/>
        </w:rPr>
        <w:t>XX</w:t>
      </w:r>
      <w:r>
        <w:rPr>
          <w:rFonts w:hint="eastAsia" w:ascii="微软雅黑" w:hAnsi="微软雅黑" w:eastAsia="微软雅黑" w:cs="Times New Roman"/>
          <w:spacing w:val="6"/>
          <w:sz w:val="28"/>
          <w:szCs w:val="28"/>
        </w:rPr>
        <w:t xml:space="preserve"> </w:t>
      </w:r>
      <w:r>
        <w:rPr>
          <w:rFonts w:hint="eastAsia" w:ascii="黑体" w:hAnsi="黑体" w:eastAsia="黑体" w:cs="Times New Roman"/>
          <w:spacing w:val="6"/>
          <w:sz w:val="28"/>
          <w:szCs w:val="28"/>
        </w:rPr>
        <w:t>发布</w:t>
      </w:r>
      <w:r>
        <w:rPr>
          <w:rFonts w:hint="eastAsia" w:ascii="微软雅黑" w:hAnsi="微软雅黑" w:eastAsia="微软雅黑" w:cs="Times New Roman"/>
          <w:spacing w:val="6"/>
          <w:sz w:val="28"/>
          <w:szCs w:val="28"/>
        </w:rPr>
        <w:t xml:space="preserve">                           202</w:t>
      </w:r>
      <w:r>
        <w:rPr>
          <w:rFonts w:hint="eastAsia" w:ascii="微软雅黑" w:hAnsi="微软雅黑" w:eastAsia="微软雅黑" w:cs="Times New Roman"/>
          <w:spacing w:val="6"/>
          <w:sz w:val="28"/>
          <w:szCs w:val="28"/>
          <w:lang w:val="en-US" w:eastAsia="zh-CN"/>
        </w:rPr>
        <w:t>6</w:t>
      </w:r>
      <w:r>
        <w:rPr>
          <w:rFonts w:hint="eastAsia" w:ascii="微软雅黑" w:hAnsi="微软雅黑" w:eastAsia="微软雅黑" w:cs="Times New Roman"/>
          <w:spacing w:val="6"/>
          <w:sz w:val="28"/>
          <w:szCs w:val="28"/>
        </w:rPr>
        <w:t>-</w:t>
      </w:r>
      <w:r>
        <w:rPr>
          <w:rFonts w:hint="eastAsia" w:ascii="微软雅黑" w:hAnsi="微软雅黑" w:eastAsia="微软雅黑" w:cs="Times New Roman"/>
          <w:spacing w:val="6"/>
          <w:sz w:val="28"/>
          <w:szCs w:val="28"/>
          <w:lang w:val="en-US" w:eastAsia="zh-CN"/>
        </w:rPr>
        <w:t>XX</w:t>
      </w:r>
      <w:r>
        <w:rPr>
          <w:rFonts w:hint="eastAsia" w:ascii="微软雅黑" w:hAnsi="微软雅黑" w:eastAsia="微软雅黑" w:cs="Times New Roman"/>
          <w:spacing w:val="6"/>
          <w:sz w:val="28"/>
          <w:szCs w:val="28"/>
        </w:rPr>
        <w:t>-</w:t>
      </w:r>
      <w:r>
        <w:rPr>
          <w:rFonts w:hint="eastAsia" w:ascii="微软雅黑" w:hAnsi="微软雅黑" w:eastAsia="微软雅黑" w:cs="Times New Roman"/>
          <w:spacing w:val="6"/>
          <w:sz w:val="28"/>
          <w:szCs w:val="28"/>
          <w:lang w:val="en-US" w:eastAsia="zh-CN"/>
        </w:rPr>
        <w:t>XX</w:t>
      </w:r>
      <w:r>
        <w:rPr>
          <w:rFonts w:hint="eastAsia" w:ascii="微软雅黑" w:hAnsi="微软雅黑" w:eastAsia="微软雅黑" w:cs="Times New Roman"/>
          <w:spacing w:val="6"/>
          <w:sz w:val="28"/>
          <w:szCs w:val="28"/>
        </w:rPr>
        <w:t xml:space="preserve"> </w:t>
      </w:r>
      <w:r>
        <w:rPr>
          <w:rFonts w:hint="eastAsia" w:ascii="黑体" w:hAnsi="黑体" w:eastAsia="黑体" w:cs="Times New Roman"/>
          <w:spacing w:val="6"/>
          <w:sz w:val="28"/>
          <w:szCs w:val="28"/>
        </w:rPr>
        <w:t>实施</w:t>
      </w:r>
    </w:p>
    <w:p w14:paraId="1CFC2D07">
      <w:pPr>
        <w:keepNext w:val="0"/>
        <w:keepLines w:val="0"/>
        <w:pageBreakBefore w:val="0"/>
        <w:widowControl w:val="0"/>
        <w:kinsoku/>
        <w:wordWrap/>
        <w:overflowPunct/>
        <w:topLinePunct w:val="0"/>
        <w:autoSpaceDE/>
        <w:autoSpaceDN/>
        <w:bidi w:val="0"/>
        <w:adjustRightInd w:val="0"/>
        <w:snapToGrid w:val="0"/>
        <w:spacing w:before="157" w:beforeLines="50" w:line="240" w:lineRule="auto"/>
        <w:jc w:val="center"/>
        <w:textAlignment w:val="auto"/>
        <w:rPr>
          <w:rFonts w:ascii="Times New Roman" w:hAnsi="Times New Roman" w:eastAsia="方正小标宋简体" w:cs="Times New Roman"/>
          <w:sz w:val="52"/>
          <w:szCs w:val="52"/>
        </w:rPr>
      </w:pPr>
      <w:r>
        <w:rPr>
          <w:rFonts w:ascii="Times New Roman" w:hAnsi="Times New Roman" w:eastAsia="方正小标宋简体" w:cs="Times New Roman"/>
          <w:sz w:val="52"/>
          <w:szCs w:val="52"/>
        </w:rPr>
        <mc:AlternateContent>
          <mc:Choice Requires="wps">
            <w:drawing>
              <wp:anchor distT="0" distB="0" distL="114300" distR="114300" simplePos="0" relativeHeight="251660288" behindDoc="0" locked="0" layoutInCell="1" allowOverlap="1">
                <wp:simplePos x="0" y="0"/>
                <wp:positionH relativeFrom="column">
                  <wp:posOffset>-59690</wp:posOffset>
                </wp:positionH>
                <wp:positionV relativeFrom="paragraph">
                  <wp:posOffset>44450</wp:posOffset>
                </wp:positionV>
                <wp:extent cx="5874385" cy="0"/>
                <wp:effectExtent l="0" t="9525" r="2540" b="9525"/>
                <wp:wrapNone/>
                <wp:docPr id="3" name="自选图形 3"/>
                <wp:cNvGraphicFramePr/>
                <a:graphic xmlns:a="http://schemas.openxmlformats.org/drawingml/2006/main">
                  <a:graphicData uri="http://schemas.microsoft.com/office/word/2010/wordprocessingShape">
                    <wps:wsp>
                      <wps:cNvCnPr/>
                      <wps:spPr>
                        <a:xfrm>
                          <a:off x="0" y="0"/>
                          <a:ext cx="5874385" cy="0"/>
                        </a:xfrm>
                        <a:prstGeom prst="straightConnector1">
                          <a:avLst/>
                        </a:prstGeom>
                        <a:ln w="19050" cap="flat" cmpd="sng">
                          <a:solidFill>
                            <a:srgbClr val="000000"/>
                          </a:solidFill>
                          <a:prstDash val="solid"/>
                          <a:headEnd type="none" w="med" len="med"/>
                          <a:tailEnd type="none" w="med" len="med"/>
                        </a:ln>
                      </wps:spPr>
                      <wps:bodyPr/>
                    </wps:wsp>
                  </a:graphicData>
                </a:graphic>
              </wp:anchor>
            </w:drawing>
          </mc:Choice>
          <mc:Fallback>
            <w:pict>
              <v:shape id="自选图形 3" o:spid="_x0000_s1026" o:spt="32" type="#_x0000_t32" style="position:absolute;left:0pt;margin-left:-4.7pt;margin-top:3.5pt;height:0pt;width:462.55pt;z-index:251660288;mso-width-relative:page;mso-height-relative:page;" filled="f" stroked="t" coordsize="21600,21600" o:gfxdata="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Bz/iZb0gAAAAYBAAAPAAAAAAAAAAEAIAAAACIAAABkcnMvZG93bnJldi54bWxQSwECFAAU&#10;AAAACACHTuJAht8zBfcBAADkAwAADgAAAAAAAAABACAAAAAhAQAAZHJzL2Uyb0RvYy54bWxQSwUG&#10;AAAAAAYABgBZAQAAigUAAAAA&#10;">
                <v:fill on="f" focussize="0,0"/>
                <v:stroke weight="1.5pt" color="#000000" joinstyle="round"/>
                <v:imagedata o:title=""/>
                <o:lock v:ext="edit" aspectratio="f"/>
              </v:shape>
            </w:pict>
          </mc:Fallback>
        </mc:AlternateContent>
      </w:r>
      <w:r>
        <w:rPr>
          <w:rFonts w:ascii="Times New Roman" w:hAnsi="Times New Roman" w:eastAsia="方正小标宋简体" w:cs="Times New Roman"/>
          <w:sz w:val="52"/>
          <w:szCs w:val="52"/>
        </w:rPr>
        <w:t>中  国  节  能  协  会  发</w:t>
      </w:r>
      <w:r>
        <w:rPr>
          <w:rFonts w:hint="eastAsia" w:ascii="Times New Roman" w:hAnsi="Times New Roman" w:eastAsia="方正小标宋简体" w:cs="Times New Roman"/>
          <w:sz w:val="52"/>
          <w:szCs w:val="52"/>
        </w:rPr>
        <w:t xml:space="preserve"> </w:t>
      </w:r>
      <w:r>
        <w:rPr>
          <w:rFonts w:ascii="Times New Roman" w:hAnsi="Times New Roman" w:eastAsia="方正小标宋简体" w:cs="Times New Roman"/>
          <w:sz w:val="52"/>
          <w:szCs w:val="52"/>
        </w:rPr>
        <w:t xml:space="preserve"> </w:t>
      </w:r>
      <w:r>
        <w:rPr>
          <w:rFonts w:hint="eastAsia" w:ascii="Times New Roman" w:hAnsi="Times New Roman" w:eastAsia="方正小标宋简体" w:cs="Times New Roman"/>
          <w:sz w:val="52"/>
          <w:szCs w:val="52"/>
        </w:rPr>
        <w:t>布</w:t>
      </w:r>
    </w:p>
    <w:p w14:paraId="581091E6">
      <w:pPr>
        <w:keepLines w:val="0"/>
        <w:kinsoku/>
        <w:wordWrap/>
        <w:overflowPunct/>
        <w:topLinePunct w:val="0"/>
        <w:bidi w:val="0"/>
        <w:adjustRightInd w:val="0"/>
        <w:snapToGrid w:val="0"/>
        <w:spacing w:line="240" w:lineRule="auto"/>
        <w:rPr>
          <w:rFonts w:ascii="Times New Roman" w:hAnsi="Times New Roman" w:eastAsia="方正小标宋简体" w:cs="Times New Roman"/>
          <w:sz w:val="2"/>
          <w:szCs w:val="2"/>
        </w:rPr>
      </w:pPr>
    </w:p>
    <w:p w14:paraId="3A14C419">
      <w:pPr>
        <w:keepLines w:val="0"/>
        <w:kinsoku/>
        <w:wordWrap/>
        <w:overflowPunct/>
        <w:topLinePunct w:val="0"/>
        <w:bidi w:val="0"/>
        <w:adjustRightInd w:val="0"/>
        <w:snapToGrid w:val="0"/>
        <w:spacing w:line="240" w:lineRule="auto"/>
        <w:rPr>
          <w:rFonts w:ascii="Times New Roman" w:hAnsi="Times New Roman" w:eastAsia="方正小标宋简体" w:cs="Times New Roman"/>
          <w:sz w:val="2"/>
          <w:szCs w:val="2"/>
        </w:rPr>
        <w:sectPr>
          <w:headerReference r:id="rId5" w:type="first"/>
          <w:headerReference r:id="rId3" w:type="default"/>
          <w:headerReference r:id="rId4" w:type="even"/>
          <w:pgSz w:w="11907" w:h="16839"/>
          <w:pgMar w:top="1417" w:right="1417" w:bottom="1134" w:left="1417" w:header="567" w:footer="850" w:gutter="0"/>
          <w:pgBorders>
            <w:top w:val="none" w:sz="0" w:space="0"/>
            <w:left w:val="none" w:sz="0" w:space="0"/>
            <w:bottom w:val="none" w:sz="0" w:space="0"/>
            <w:right w:val="none" w:sz="0" w:space="0"/>
          </w:pgBorders>
          <w:cols w:space="0" w:num="1"/>
          <w:titlePg/>
          <w:docGrid w:type="lines" w:linePitch="312" w:charSpace="0"/>
        </w:sectPr>
      </w:pPr>
    </w:p>
    <w:p w14:paraId="0660CC7B">
      <w:pPr>
        <w:keepLines w:val="0"/>
        <w:kinsoku/>
        <w:wordWrap/>
        <w:overflowPunct/>
        <w:topLinePunct w:val="0"/>
        <w:bidi w:val="0"/>
        <w:spacing w:line="240" w:lineRule="auto"/>
        <w:jc w:val="left"/>
        <w:rPr>
          <w:rFonts w:ascii="FangSong_GB2312" w:hAnsi="FangSong_GB2312" w:eastAsia="FangSong_GB2312" w:cs="FangSong_GB2312"/>
          <w:szCs w:val="21"/>
        </w:rPr>
      </w:pPr>
    </w:p>
    <w:p w14:paraId="0EFA3D8F">
      <w:pPr>
        <w:keepLines w:val="0"/>
        <w:kinsoku/>
        <w:wordWrap/>
        <w:overflowPunct/>
        <w:topLinePunct w:val="0"/>
        <w:bidi w:val="0"/>
        <w:spacing w:line="240" w:lineRule="auto"/>
        <w:jc w:val="left"/>
        <w:rPr>
          <w:rFonts w:hint="eastAsia" w:ascii="FangSong_GB2312" w:hAnsi="FangSong_GB2312" w:eastAsia="FangSong_GB2312" w:cs="FangSong_GB2312"/>
          <w:szCs w:val="21"/>
        </w:rPr>
      </w:pPr>
    </w:p>
    <w:p w14:paraId="6754D923">
      <w:pPr>
        <w:keepLines w:val="0"/>
        <w:kinsoku/>
        <w:wordWrap/>
        <w:overflowPunct/>
        <w:topLinePunct w:val="0"/>
        <w:bidi w:val="0"/>
        <w:spacing w:line="240" w:lineRule="auto"/>
        <w:jc w:val="left"/>
        <w:rPr>
          <w:rFonts w:hint="eastAsia" w:ascii="FangSong_GB2312" w:hAnsi="FangSong_GB2312" w:eastAsia="FangSong_GB2312" w:cs="FangSong_GB2312"/>
          <w:szCs w:val="21"/>
        </w:rPr>
      </w:pPr>
    </w:p>
    <w:p w14:paraId="3D1AF007">
      <w:pPr>
        <w:keepLines w:val="0"/>
        <w:kinsoku/>
        <w:wordWrap/>
        <w:overflowPunct/>
        <w:topLinePunct w:val="0"/>
        <w:bidi w:val="0"/>
        <w:spacing w:line="240" w:lineRule="auto"/>
        <w:jc w:val="left"/>
        <w:rPr>
          <w:rFonts w:hint="eastAsia" w:ascii="FangSong_GB2312" w:hAnsi="FangSong_GB2312" w:eastAsia="FangSong_GB2312" w:cs="FangSong_GB2312"/>
          <w:szCs w:val="21"/>
        </w:rPr>
      </w:pPr>
    </w:p>
    <w:p w14:paraId="4D770DFD">
      <w:pPr>
        <w:keepLines w:val="0"/>
        <w:kinsoku/>
        <w:wordWrap/>
        <w:overflowPunct/>
        <w:topLinePunct w:val="0"/>
        <w:bidi w:val="0"/>
        <w:spacing w:line="240" w:lineRule="auto"/>
        <w:jc w:val="left"/>
        <w:rPr>
          <w:rFonts w:hint="eastAsia" w:ascii="FangSong_GB2312" w:hAnsi="FangSong_GB2312" w:eastAsia="FangSong_GB2312" w:cs="FangSong_GB2312"/>
          <w:szCs w:val="21"/>
        </w:rPr>
      </w:pPr>
    </w:p>
    <w:p w14:paraId="6B608DC1">
      <w:pPr>
        <w:keepLines w:val="0"/>
        <w:kinsoku/>
        <w:wordWrap/>
        <w:overflowPunct/>
        <w:topLinePunct w:val="0"/>
        <w:bidi w:val="0"/>
        <w:spacing w:line="240" w:lineRule="auto"/>
        <w:jc w:val="left"/>
        <w:rPr>
          <w:rFonts w:hint="eastAsia" w:ascii="FangSong_GB2312" w:hAnsi="FangSong_GB2312" w:eastAsia="FangSong_GB2312" w:cs="FangSong_GB2312"/>
          <w:szCs w:val="21"/>
        </w:rPr>
      </w:pPr>
    </w:p>
    <w:p w14:paraId="722B2610">
      <w:pPr>
        <w:keepLines w:val="0"/>
        <w:kinsoku/>
        <w:wordWrap/>
        <w:overflowPunct/>
        <w:topLinePunct w:val="0"/>
        <w:bidi w:val="0"/>
        <w:spacing w:line="240" w:lineRule="auto"/>
        <w:jc w:val="left"/>
        <w:rPr>
          <w:rFonts w:hint="eastAsia" w:ascii="FangSong_GB2312" w:hAnsi="FangSong_GB2312" w:eastAsia="FangSong_GB2312" w:cs="FangSong_GB2312"/>
          <w:szCs w:val="21"/>
        </w:rPr>
      </w:pPr>
    </w:p>
    <w:p w14:paraId="7C6024E0">
      <w:pPr>
        <w:keepLines w:val="0"/>
        <w:kinsoku/>
        <w:wordWrap/>
        <w:overflowPunct/>
        <w:topLinePunct w:val="0"/>
        <w:bidi w:val="0"/>
        <w:spacing w:line="240" w:lineRule="auto"/>
        <w:jc w:val="left"/>
        <w:rPr>
          <w:rFonts w:hint="eastAsia" w:ascii="FangSong_GB2312" w:hAnsi="FangSong_GB2312" w:eastAsia="FangSong_GB2312" w:cs="FangSong_GB2312"/>
          <w:szCs w:val="21"/>
        </w:rPr>
      </w:pPr>
    </w:p>
    <w:p w14:paraId="0F73A954">
      <w:pPr>
        <w:keepLines w:val="0"/>
        <w:kinsoku/>
        <w:wordWrap/>
        <w:overflowPunct/>
        <w:topLinePunct w:val="0"/>
        <w:bidi w:val="0"/>
        <w:spacing w:line="240" w:lineRule="auto"/>
        <w:jc w:val="left"/>
        <w:rPr>
          <w:rFonts w:hint="eastAsia" w:ascii="FangSong_GB2312" w:hAnsi="FangSong_GB2312" w:eastAsia="FangSong_GB2312" w:cs="FangSong_GB2312"/>
          <w:szCs w:val="21"/>
        </w:rPr>
      </w:pPr>
    </w:p>
    <w:p w14:paraId="6333AA0B">
      <w:pPr>
        <w:keepLines w:val="0"/>
        <w:kinsoku/>
        <w:wordWrap/>
        <w:overflowPunct/>
        <w:topLinePunct w:val="0"/>
        <w:bidi w:val="0"/>
        <w:spacing w:line="240" w:lineRule="auto"/>
        <w:jc w:val="left"/>
        <w:rPr>
          <w:rFonts w:hint="eastAsia" w:ascii="FangSong_GB2312" w:hAnsi="FangSong_GB2312" w:eastAsia="FangSong_GB2312" w:cs="FangSong_GB2312"/>
          <w:szCs w:val="21"/>
        </w:rPr>
      </w:pPr>
    </w:p>
    <w:p w14:paraId="500F607B">
      <w:pPr>
        <w:keepLines w:val="0"/>
        <w:kinsoku/>
        <w:wordWrap/>
        <w:overflowPunct/>
        <w:topLinePunct w:val="0"/>
        <w:bidi w:val="0"/>
        <w:spacing w:line="240" w:lineRule="auto"/>
        <w:jc w:val="left"/>
        <w:rPr>
          <w:rFonts w:hint="eastAsia" w:ascii="FangSong_GB2312" w:hAnsi="FangSong_GB2312" w:eastAsia="FangSong_GB2312" w:cs="FangSong_GB2312"/>
          <w:szCs w:val="21"/>
        </w:rPr>
      </w:pPr>
    </w:p>
    <w:p w14:paraId="78F52B84">
      <w:pPr>
        <w:keepLines w:val="0"/>
        <w:kinsoku/>
        <w:wordWrap/>
        <w:overflowPunct/>
        <w:topLinePunct w:val="0"/>
        <w:bidi w:val="0"/>
        <w:spacing w:line="240" w:lineRule="auto"/>
        <w:jc w:val="left"/>
        <w:rPr>
          <w:rFonts w:hint="eastAsia" w:ascii="FangSong_GB2312" w:hAnsi="FangSong_GB2312" w:eastAsia="FangSong_GB2312" w:cs="FangSong_GB2312"/>
          <w:szCs w:val="21"/>
        </w:rPr>
      </w:pPr>
    </w:p>
    <w:p w14:paraId="7093692D">
      <w:pPr>
        <w:keepLines w:val="0"/>
        <w:kinsoku/>
        <w:wordWrap/>
        <w:overflowPunct/>
        <w:topLinePunct w:val="0"/>
        <w:bidi w:val="0"/>
        <w:spacing w:line="240" w:lineRule="auto"/>
        <w:jc w:val="left"/>
        <w:rPr>
          <w:rFonts w:hint="eastAsia" w:ascii="FangSong_GB2312" w:hAnsi="FangSong_GB2312" w:eastAsia="FangSong_GB2312" w:cs="FangSong_GB2312"/>
          <w:szCs w:val="21"/>
        </w:rPr>
      </w:pPr>
    </w:p>
    <w:p w14:paraId="020153A7">
      <w:pPr>
        <w:keepLines w:val="0"/>
        <w:kinsoku/>
        <w:wordWrap/>
        <w:overflowPunct/>
        <w:topLinePunct w:val="0"/>
        <w:bidi w:val="0"/>
        <w:spacing w:line="240" w:lineRule="auto"/>
        <w:jc w:val="left"/>
        <w:rPr>
          <w:rFonts w:hint="eastAsia" w:ascii="FangSong_GB2312" w:hAnsi="FangSong_GB2312" w:eastAsia="FangSong_GB2312" w:cs="FangSong_GB2312"/>
          <w:szCs w:val="21"/>
        </w:rPr>
      </w:pPr>
    </w:p>
    <w:p w14:paraId="183340AF">
      <w:pPr>
        <w:keepLines w:val="0"/>
        <w:kinsoku/>
        <w:wordWrap/>
        <w:overflowPunct/>
        <w:topLinePunct w:val="0"/>
        <w:bidi w:val="0"/>
        <w:spacing w:line="240" w:lineRule="auto"/>
        <w:jc w:val="left"/>
        <w:rPr>
          <w:rFonts w:hint="eastAsia" w:ascii="FangSong_GB2312" w:hAnsi="FangSong_GB2312" w:eastAsia="FangSong_GB2312" w:cs="FangSong_GB2312"/>
          <w:szCs w:val="21"/>
        </w:rPr>
      </w:pPr>
    </w:p>
    <w:p w14:paraId="21F1B648">
      <w:pPr>
        <w:keepLines w:val="0"/>
        <w:kinsoku/>
        <w:wordWrap/>
        <w:overflowPunct/>
        <w:topLinePunct w:val="0"/>
        <w:bidi w:val="0"/>
        <w:spacing w:line="240" w:lineRule="auto"/>
        <w:jc w:val="left"/>
        <w:rPr>
          <w:rFonts w:hint="eastAsia" w:ascii="FangSong_GB2312" w:hAnsi="FangSong_GB2312" w:eastAsia="FangSong_GB2312" w:cs="FangSong_GB2312"/>
          <w:szCs w:val="21"/>
        </w:rPr>
      </w:pPr>
    </w:p>
    <w:p w14:paraId="6236D7DC">
      <w:pPr>
        <w:keepLines w:val="0"/>
        <w:kinsoku/>
        <w:wordWrap/>
        <w:overflowPunct/>
        <w:topLinePunct w:val="0"/>
        <w:bidi w:val="0"/>
        <w:spacing w:line="240" w:lineRule="auto"/>
        <w:jc w:val="left"/>
        <w:rPr>
          <w:rFonts w:hint="eastAsia" w:ascii="FangSong_GB2312" w:hAnsi="FangSong_GB2312" w:eastAsia="FangSong_GB2312" w:cs="FangSong_GB2312"/>
          <w:szCs w:val="21"/>
        </w:rPr>
      </w:pPr>
    </w:p>
    <w:p w14:paraId="6D03FE24">
      <w:pPr>
        <w:keepLines w:val="0"/>
        <w:kinsoku/>
        <w:wordWrap/>
        <w:overflowPunct/>
        <w:topLinePunct w:val="0"/>
        <w:bidi w:val="0"/>
        <w:spacing w:line="240" w:lineRule="auto"/>
        <w:jc w:val="left"/>
        <w:rPr>
          <w:rFonts w:hint="eastAsia" w:ascii="FangSong_GB2312" w:hAnsi="FangSong_GB2312" w:eastAsia="FangSong_GB2312" w:cs="FangSong_GB2312"/>
          <w:szCs w:val="21"/>
        </w:rPr>
      </w:pPr>
    </w:p>
    <w:p w14:paraId="38025FC4">
      <w:pPr>
        <w:keepLines w:val="0"/>
        <w:kinsoku/>
        <w:wordWrap/>
        <w:overflowPunct/>
        <w:topLinePunct w:val="0"/>
        <w:bidi w:val="0"/>
        <w:spacing w:line="240" w:lineRule="auto"/>
        <w:jc w:val="left"/>
        <w:rPr>
          <w:rFonts w:hint="eastAsia" w:ascii="FangSong_GB2312" w:hAnsi="FangSong_GB2312" w:eastAsia="FangSong_GB2312" w:cs="FangSong_GB2312"/>
          <w:szCs w:val="21"/>
        </w:rPr>
      </w:pPr>
    </w:p>
    <w:p w14:paraId="06771C39">
      <w:pPr>
        <w:keepLines w:val="0"/>
        <w:kinsoku/>
        <w:wordWrap/>
        <w:overflowPunct/>
        <w:topLinePunct w:val="0"/>
        <w:bidi w:val="0"/>
        <w:spacing w:line="240" w:lineRule="auto"/>
        <w:jc w:val="left"/>
        <w:rPr>
          <w:rFonts w:hint="eastAsia" w:ascii="FangSong_GB2312" w:hAnsi="FangSong_GB2312" w:eastAsia="FangSong_GB2312" w:cs="FangSong_GB2312"/>
          <w:szCs w:val="21"/>
        </w:rPr>
      </w:pPr>
    </w:p>
    <w:p w14:paraId="4E20A231">
      <w:pPr>
        <w:keepLines w:val="0"/>
        <w:kinsoku/>
        <w:wordWrap/>
        <w:overflowPunct/>
        <w:topLinePunct w:val="0"/>
        <w:bidi w:val="0"/>
        <w:spacing w:line="240" w:lineRule="auto"/>
        <w:jc w:val="left"/>
        <w:rPr>
          <w:rFonts w:hint="eastAsia" w:ascii="FangSong_GB2312" w:hAnsi="FangSong_GB2312" w:eastAsia="FangSong_GB2312" w:cs="FangSong_GB2312"/>
          <w:szCs w:val="21"/>
        </w:rPr>
      </w:pPr>
    </w:p>
    <w:p w14:paraId="54FB1049">
      <w:pPr>
        <w:keepLines w:val="0"/>
        <w:kinsoku/>
        <w:wordWrap/>
        <w:overflowPunct/>
        <w:topLinePunct w:val="0"/>
        <w:bidi w:val="0"/>
        <w:spacing w:line="240" w:lineRule="auto"/>
        <w:jc w:val="left"/>
        <w:rPr>
          <w:rFonts w:hint="eastAsia" w:ascii="FangSong_GB2312" w:hAnsi="FangSong_GB2312" w:eastAsia="FangSong_GB2312" w:cs="FangSong_GB2312"/>
          <w:szCs w:val="21"/>
        </w:rPr>
      </w:pPr>
    </w:p>
    <w:p w14:paraId="0D87ACA4">
      <w:pPr>
        <w:keepLines w:val="0"/>
        <w:tabs>
          <w:tab w:val="left" w:pos="4061"/>
        </w:tabs>
        <w:kinsoku/>
        <w:wordWrap/>
        <w:overflowPunct/>
        <w:topLinePunct w:val="0"/>
        <w:bidi w:val="0"/>
        <w:spacing w:line="240" w:lineRule="auto"/>
        <w:jc w:val="left"/>
        <w:rPr>
          <w:rFonts w:hint="eastAsia" w:ascii="FangSong_GB2312" w:hAnsi="FangSong_GB2312" w:eastAsia="FangSong_GB2312" w:cs="FangSong_GB2312"/>
          <w:szCs w:val="21"/>
        </w:rPr>
      </w:pPr>
      <w:r>
        <w:rPr>
          <w:rFonts w:hint="eastAsia" w:ascii="FangSong_GB2312" w:hAnsi="FangSong_GB2312" w:eastAsia="FangSong_GB2312" w:cs="FangSong_GB2312"/>
          <w:szCs w:val="21"/>
        </w:rPr>
        <w:tab/>
      </w:r>
    </w:p>
    <w:p w14:paraId="28F6D8EF">
      <w:pPr>
        <w:keepLines w:val="0"/>
        <w:kinsoku/>
        <w:wordWrap/>
        <w:overflowPunct/>
        <w:topLinePunct w:val="0"/>
        <w:bidi w:val="0"/>
        <w:spacing w:line="240" w:lineRule="auto"/>
        <w:jc w:val="left"/>
        <w:rPr>
          <w:rFonts w:hint="eastAsia" w:ascii="FangSong_GB2312" w:hAnsi="FangSong_GB2312" w:eastAsia="FangSong_GB2312" w:cs="FangSong_GB2312"/>
          <w:szCs w:val="21"/>
        </w:rPr>
      </w:pPr>
    </w:p>
    <w:p w14:paraId="20ED1BFF">
      <w:pPr>
        <w:keepLines w:val="0"/>
        <w:kinsoku/>
        <w:wordWrap/>
        <w:overflowPunct/>
        <w:topLinePunct w:val="0"/>
        <w:bidi w:val="0"/>
        <w:spacing w:line="240" w:lineRule="auto"/>
        <w:jc w:val="left"/>
        <w:rPr>
          <w:rFonts w:hint="eastAsia" w:ascii="FangSong_GB2312" w:hAnsi="FangSong_GB2312" w:eastAsia="FangSong_GB2312" w:cs="FangSong_GB2312"/>
          <w:szCs w:val="21"/>
        </w:rPr>
      </w:pPr>
    </w:p>
    <w:p w14:paraId="4357D0F1">
      <w:pPr>
        <w:keepLines w:val="0"/>
        <w:kinsoku/>
        <w:wordWrap/>
        <w:overflowPunct/>
        <w:topLinePunct w:val="0"/>
        <w:bidi w:val="0"/>
        <w:spacing w:line="240" w:lineRule="auto"/>
        <w:jc w:val="left"/>
        <w:rPr>
          <w:rFonts w:hint="eastAsia" w:ascii="FangSong_GB2312" w:hAnsi="FangSong_GB2312" w:eastAsia="FangSong_GB2312" w:cs="FangSong_GB2312"/>
          <w:szCs w:val="21"/>
        </w:rPr>
      </w:pPr>
    </w:p>
    <w:p w14:paraId="1AF77615">
      <w:pPr>
        <w:keepLines w:val="0"/>
        <w:kinsoku/>
        <w:wordWrap/>
        <w:overflowPunct/>
        <w:topLinePunct w:val="0"/>
        <w:bidi w:val="0"/>
        <w:spacing w:line="240" w:lineRule="auto"/>
        <w:jc w:val="left"/>
        <w:rPr>
          <w:rFonts w:hint="eastAsia" w:ascii="FangSong_GB2312" w:hAnsi="FangSong_GB2312" w:eastAsia="FangSong_GB2312" w:cs="FangSong_GB2312"/>
          <w:szCs w:val="21"/>
        </w:rPr>
      </w:pPr>
    </w:p>
    <w:p w14:paraId="2279D6E0">
      <w:pPr>
        <w:keepLines w:val="0"/>
        <w:kinsoku/>
        <w:wordWrap/>
        <w:overflowPunct/>
        <w:topLinePunct w:val="0"/>
        <w:bidi w:val="0"/>
        <w:spacing w:line="240" w:lineRule="auto"/>
        <w:jc w:val="left"/>
        <w:rPr>
          <w:rFonts w:hint="eastAsia" w:ascii="FangSong_GB2312" w:hAnsi="FangSong_GB2312" w:eastAsia="FangSong_GB2312" w:cs="FangSong_GB2312"/>
          <w:szCs w:val="21"/>
        </w:rPr>
      </w:pPr>
    </w:p>
    <w:p w14:paraId="373521A6">
      <w:pPr>
        <w:keepLines w:val="0"/>
        <w:kinsoku/>
        <w:wordWrap/>
        <w:overflowPunct/>
        <w:topLinePunct w:val="0"/>
        <w:bidi w:val="0"/>
        <w:spacing w:line="240" w:lineRule="auto"/>
        <w:jc w:val="left"/>
        <w:rPr>
          <w:rFonts w:hint="eastAsia" w:ascii="FangSong_GB2312" w:hAnsi="FangSong_GB2312" w:eastAsia="FangSong_GB2312" w:cs="FangSong_GB2312"/>
          <w:szCs w:val="21"/>
        </w:rPr>
      </w:pPr>
    </w:p>
    <w:p w14:paraId="696A3794">
      <w:pPr>
        <w:keepLines w:val="0"/>
        <w:kinsoku/>
        <w:wordWrap/>
        <w:overflowPunct/>
        <w:topLinePunct w:val="0"/>
        <w:bidi w:val="0"/>
        <w:spacing w:line="240" w:lineRule="auto"/>
        <w:jc w:val="left"/>
        <w:rPr>
          <w:rFonts w:hint="eastAsia" w:ascii="FangSong_GB2312" w:hAnsi="FangSong_GB2312" w:eastAsia="FangSong_GB2312" w:cs="FangSong_GB2312"/>
          <w:szCs w:val="21"/>
        </w:rPr>
      </w:pPr>
    </w:p>
    <w:p w14:paraId="44D5E4F9">
      <w:pPr>
        <w:keepLines w:val="0"/>
        <w:kinsoku/>
        <w:wordWrap/>
        <w:overflowPunct/>
        <w:topLinePunct w:val="0"/>
        <w:bidi w:val="0"/>
        <w:spacing w:line="240" w:lineRule="auto"/>
        <w:jc w:val="left"/>
        <w:rPr>
          <w:rFonts w:hint="eastAsia" w:ascii="FangSong_GB2312" w:hAnsi="FangSong_GB2312" w:eastAsia="FangSong_GB2312" w:cs="FangSong_GB2312"/>
          <w:szCs w:val="21"/>
        </w:rPr>
      </w:pPr>
    </w:p>
    <w:p w14:paraId="7D990084">
      <w:pPr>
        <w:keepLines w:val="0"/>
        <w:kinsoku/>
        <w:wordWrap/>
        <w:overflowPunct/>
        <w:topLinePunct w:val="0"/>
        <w:bidi w:val="0"/>
        <w:spacing w:line="240" w:lineRule="auto"/>
        <w:jc w:val="left"/>
        <w:rPr>
          <w:rFonts w:hint="eastAsia" w:ascii="FangSong_GB2312" w:hAnsi="FangSong_GB2312" w:eastAsia="FangSong_GB2312" w:cs="FangSong_GB2312"/>
          <w:szCs w:val="21"/>
        </w:rPr>
      </w:pPr>
    </w:p>
    <w:p w14:paraId="3D520CD2">
      <w:pPr>
        <w:keepLines w:val="0"/>
        <w:kinsoku/>
        <w:wordWrap/>
        <w:overflowPunct/>
        <w:topLinePunct w:val="0"/>
        <w:bidi w:val="0"/>
        <w:spacing w:line="240" w:lineRule="auto"/>
        <w:jc w:val="left"/>
        <w:rPr>
          <w:rFonts w:hint="eastAsia" w:ascii="FangSong_GB2312" w:hAnsi="FangSong_GB2312" w:eastAsia="FangSong_GB2312" w:cs="FangSong_GB2312"/>
          <w:szCs w:val="21"/>
        </w:rPr>
      </w:pPr>
    </w:p>
    <w:p w14:paraId="44832F7C">
      <w:pPr>
        <w:keepLines w:val="0"/>
        <w:kinsoku/>
        <w:wordWrap/>
        <w:overflowPunct/>
        <w:topLinePunct w:val="0"/>
        <w:bidi w:val="0"/>
        <w:spacing w:line="240" w:lineRule="auto"/>
        <w:jc w:val="left"/>
        <w:rPr>
          <w:rFonts w:hint="eastAsia" w:ascii="FangSong_GB2312" w:hAnsi="FangSong_GB2312" w:eastAsia="FangSong_GB2312" w:cs="FangSong_GB2312"/>
          <w:szCs w:val="21"/>
        </w:rPr>
      </w:pPr>
    </w:p>
    <w:p w14:paraId="0C58A1B8">
      <w:pPr>
        <w:keepLines w:val="0"/>
        <w:kinsoku/>
        <w:wordWrap/>
        <w:overflowPunct/>
        <w:topLinePunct w:val="0"/>
        <w:bidi w:val="0"/>
        <w:spacing w:line="240" w:lineRule="auto"/>
        <w:jc w:val="left"/>
        <w:rPr>
          <w:rFonts w:hint="eastAsia" w:ascii="FangSong_GB2312" w:hAnsi="FangSong_GB2312" w:eastAsia="FangSong_GB2312" w:cs="FangSong_GB2312"/>
          <w:szCs w:val="21"/>
        </w:rPr>
      </w:pPr>
    </w:p>
    <w:p w14:paraId="3F40BD1A">
      <w:pPr>
        <w:keepLines w:val="0"/>
        <w:kinsoku/>
        <w:wordWrap/>
        <w:overflowPunct/>
        <w:topLinePunct w:val="0"/>
        <w:bidi w:val="0"/>
        <w:spacing w:line="240" w:lineRule="auto"/>
        <w:jc w:val="left"/>
        <w:rPr>
          <w:rFonts w:hint="eastAsia" w:ascii="FangSong_GB2312" w:hAnsi="FangSong_GB2312" w:eastAsia="FangSong_GB2312" w:cs="FangSong_GB2312"/>
          <w:szCs w:val="21"/>
        </w:rPr>
      </w:pPr>
      <w:r>
        <w:rPr>
          <w:rFonts w:ascii="宋体" w:hAnsi="宋体" w:cs="宋体"/>
          <w:kern w:val="0"/>
          <w:sz w:val="24"/>
          <w:szCs w:val="21"/>
        </w:rPr>
        <w:drawing>
          <wp:anchor distT="0" distB="0" distL="0" distR="0" simplePos="0" relativeHeight="251661312" behindDoc="1" locked="0" layoutInCell="1" allowOverlap="1">
            <wp:simplePos x="0" y="0"/>
            <wp:positionH relativeFrom="column">
              <wp:posOffset>38100</wp:posOffset>
            </wp:positionH>
            <wp:positionV relativeFrom="paragraph">
              <wp:posOffset>183515</wp:posOffset>
            </wp:positionV>
            <wp:extent cx="809625" cy="771525"/>
            <wp:effectExtent l="0" t="0" r="0" b="0"/>
            <wp:wrapNone/>
            <wp:docPr id="10" name="图片 5" descr="IMG_256"/>
            <wp:cNvGraphicFramePr/>
            <a:graphic xmlns:a="http://schemas.openxmlformats.org/drawingml/2006/main">
              <a:graphicData uri="http://schemas.openxmlformats.org/drawingml/2006/picture">
                <pic:pic xmlns:pic="http://schemas.openxmlformats.org/drawingml/2006/picture">
                  <pic:nvPicPr>
                    <pic:cNvPr id="10" name="图片 5" descr="IMG_256"/>
                    <pic:cNvPicPr/>
                  </pic:nvPicPr>
                  <pic:blipFill>
                    <a:blip r:embed="rId15" cstate="print"/>
                    <a:srcRect/>
                    <a:stretch>
                      <a:fillRect/>
                    </a:stretch>
                  </pic:blipFill>
                  <pic:spPr>
                    <a:xfrm>
                      <a:off x="0" y="0"/>
                      <a:ext cx="809625" cy="771525"/>
                    </a:xfrm>
                    <a:prstGeom prst="rect">
                      <a:avLst/>
                    </a:prstGeom>
                    <a:ln>
                      <a:noFill/>
                    </a:ln>
                  </pic:spPr>
                </pic:pic>
              </a:graphicData>
            </a:graphic>
          </wp:anchor>
        </w:drawing>
      </w:r>
    </w:p>
    <w:p w14:paraId="31A35D32">
      <w:pPr>
        <w:keepLines w:val="0"/>
        <w:kinsoku/>
        <w:wordWrap/>
        <w:overflowPunct/>
        <w:topLinePunct w:val="0"/>
        <w:bidi w:val="0"/>
        <w:spacing w:line="240" w:lineRule="auto"/>
        <w:jc w:val="left"/>
        <w:rPr>
          <w:rFonts w:hint="eastAsia" w:ascii="FangSong_GB2312" w:hAnsi="FangSong_GB2312" w:eastAsia="FangSong_GB2312" w:cs="FangSong_GB2312"/>
          <w:szCs w:val="21"/>
        </w:rPr>
      </w:pPr>
    </w:p>
    <w:p w14:paraId="633B1D54">
      <w:pPr>
        <w:keepLines w:val="0"/>
        <w:kinsoku/>
        <w:wordWrap/>
        <w:overflowPunct/>
        <w:topLinePunct w:val="0"/>
        <w:bidi w:val="0"/>
        <w:spacing w:line="240" w:lineRule="auto"/>
        <w:jc w:val="left"/>
        <w:rPr>
          <w:rFonts w:hint="eastAsia" w:ascii="FangSong_GB2312" w:hAnsi="FangSong_GB2312" w:eastAsia="FangSong_GB2312" w:cs="FangSong_GB2312"/>
          <w:szCs w:val="21"/>
        </w:rPr>
      </w:pPr>
    </w:p>
    <w:p w14:paraId="6DE11B5F">
      <w:pPr>
        <w:keepLines w:val="0"/>
        <w:kinsoku/>
        <w:wordWrap/>
        <w:overflowPunct/>
        <w:topLinePunct w:val="0"/>
        <w:bidi w:val="0"/>
        <w:spacing w:line="240" w:lineRule="auto"/>
        <w:jc w:val="left"/>
        <w:rPr>
          <w:rFonts w:hint="eastAsia" w:ascii="宋体" w:hAnsi="宋体" w:cs="FangSong_GB2312"/>
          <w:szCs w:val="21"/>
        </w:rPr>
      </w:pPr>
      <w:r>
        <w:rPr>
          <w:rFonts w:hint="eastAsia" w:ascii="FangSong_GB2312" w:hAnsi="FangSong_GB2312" w:eastAsia="FangSong_GB2312" w:cs="FangSong_GB2312"/>
          <w:szCs w:val="21"/>
        </w:rPr>
        <w:t xml:space="preserve">             </w:t>
      </w:r>
      <w:r>
        <w:rPr>
          <w:rFonts w:hint="eastAsia" w:ascii="宋体" w:hAnsi="宋体" w:cs="FangSong_GB2312"/>
          <w:szCs w:val="21"/>
        </w:rPr>
        <w:t>版权保护文件</w:t>
      </w:r>
    </w:p>
    <w:p w14:paraId="6FE3EF04">
      <w:pPr>
        <w:keepLines w:val="0"/>
        <w:kinsoku/>
        <w:wordWrap/>
        <w:overflowPunct/>
        <w:topLinePunct w:val="0"/>
        <w:bidi w:val="0"/>
        <w:spacing w:line="240" w:lineRule="auto"/>
        <w:jc w:val="left"/>
        <w:rPr>
          <w:rFonts w:hint="eastAsia" w:ascii="宋体" w:hAnsi="宋体" w:cs="FangSong_GB2312"/>
          <w:szCs w:val="21"/>
        </w:rPr>
      </w:pPr>
    </w:p>
    <w:p w14:paraId="09F1F0D1">
      <w:pPr>
        <w:keepLines w:val="0"/>
        <w:kinsoku/>
        <w:wordWrap/>
        <w:overflowPunct/>
        <w:topLinePunct w:val="0"/>
        <w:bidi w:val="0"/>
        <w:spacing w:line="240" w:lineRule="auto"/>
        <w:jc w:val="left"/>
        <w:rPr>
          <w:rFonts w:hint="eastAsia" w:ascii="宋体" w:hAnsi="宋体" w:eastAsia="宋体" w:cs="宋体"/>
          <w:szCs w:val="21"/>
        </w:rPr>
        <w:sectPr>
          <w:footerReference r:id="rId6" w:type="default"/>
          <w:pgSz w:w="11906" w:h="16838"/>
          <w:pgMar w:top="1417" w:right="1417" w:bottom="1134" w:left="1417" w:header="1417" w:footer="1134" w:gutter="0"/>
          <w:pgBorders>
            <w:top w:val="none" w:sz="0" w:space="0"/>
            <w:left w:val="none" w:sz="0" w:space="0"/>
            <w:bottom w:val="none" w:sz="0" w:space="0"/>
            <w:right w:val="none" w:sz="0" w:space="0"/>
          </w:pgBorders>
          <w:pgNumType w:fmt="upperRoman" w:start="1"/>
          <w:cols w:space="425" w:num="1"/>
          <w:docGrid w:type="lines" w:linePitch="312" w:charSpace="0"/>
        </w:sectPr>
      </w:pPr>
      <w:r>
        <w:rPr>
          <w:rFonts w:hint="eastAsia" w:ascii="宋体" w:hAnsi="宋体" w:eastAsia="宋体" w:cs="宋体"/>
          <w:szCs w:val="21"/>
        </w:rPr>
        <w:t>版权所有归属于该标准的发布机构，除非有其他规定，否则未经许可，此发行物及其章节不得以其他形式或任何手段进行复制、再版或使用，包括电子版、影印版，或发布在互联网及内部网络等。使用许可请与发布机构获取。</w:t>
      </w:r>
    </w:p>
    <w:p w14:paraId="3FB1674E">
      <w:pPr>
        <w:pStyle w:val="18"/>
        <w:keepLines w:val="0"/>
        <w:kinsoku/>
        <w:wordWrap/>
        <w:overflowPunct/>
        <w:topLinePunct w:val="0"/>
        <w:bidi w:val="0"/>
        <w:spacing w:line="240" w:lineRule="auto"/>
        <w:rPr>
          <w:rFonts w:hAnsi="黑体" w:cs="Arial"/>
        </w:rPr>
      </w:pPr>
      <w:bookmarkStart w:id="1" w:name="_Toc21529"/>
      <w:r>
        <w:rPr>
          <w:rFonts w:hint="eastAsia" w:hAnsi="黑体" w:cs="Arial"/>
        </w:rPr>
        <w:t>目    次</w:t>
      </w:r>
      <w:bookmarkEnd w:id="1"/>
    </w:p>
    <w:sdt>
      <w:sdtPr>
        <w:rPr>
          <w:rFonts w:ascii="宋体" w:hAnsi="宋体" w:eastAsia="宋体" w:cstheme="minorBidi"/>
          <w:kern w:val="2"/>
          <w:sz w:val="21"/>
          <w:szCs w:val="21"/>
          <w:lang w:val="en-US" w:eastAsia="zh-CN" w:bidi="ar-SA"/>
        </w:rPr>
        <w:id w:val="147462774"/>
        <w15:color w:val="DBDBDB"/>
        <w:docPartObj>
          <w:docPartGallery w:val="Table of Contents"/>
          <w:docPartUnique/>
        </w:docPartObj>
      </w:sdtPr>
      <w:sdtEndPr>
        <w:rPr>
          <w:rFonts w:hint="eastAsia" w:asciiTheme="minorEastAsia" w:hAnsiTheme="minorEastAsia" w:eastAsiaTheme="minorEastAsia" w:cstheme="minorEastAsia"/>
          <w:kern w:val="2"/>
          <w:sz w:val="21"/>
          <w:szCs w:val="21"/>
          <w:lang w:val="en-US" w:eastAsia="zh-CN" w:bidi="ar-SA"/>
        </w:rPr>
      </w:sdtEndPr>
      <w:sdtContent>
        <w:p w14:paraId="46D0F0C0">
          <w:pPr>
            <w:keepLines w:val="0"/>
            <w:kinsoku/>
            <w:wordWrap/>
            <w:overflowPunct/>
            <w:topLinePunct w:val="0"/>
            <w:bidi w:val="0"/>
            <w:spacing w:before="0" w:beforeLines="0" w:after="0" w:afterLines="0" w:line="240" w:lineRule="auto"/>
            <w:ind w:left="0" w:leftChars="0" w:right="0" w:rightChars="0" w:firstLine="0" w:firstLineChars="0"/>
            <w:jc w:val="center"/>
          </w:pPr>
        </w:p>
        <w:p w14:paraId="28A7E020">
          <w:pPr>
            <w:pStyle w:val="6"/>
            <w:keepLines w:val="0"/>
            <w:tabs>
              <w:tab w:val="right" w:leader="dot" w:pos="9071"/>
            </w:tabs>
            <w:kinsoku/>
            <w:wordWrap/>
            <w:overflowPunct/>
            <w:topLinePunct w:val="0"/>
            <w:bidi w:val="0"/>
            <w:spacing w:line="240" w:lineRule="auto"/>
            <w:rPr>
              <w:rFonts w:hint="eastAsia" w:asciiTheme="minorEastAsia" w:hAnsiTheme="minorEastAsia" w:eastAsiaTheme="minorEastAsia" w:cstheme="minorEastAsia"/>
            </w:rPr>
          </w:pPr>
          <w:r>
            <w:rPr>
              <w:rFonts w:hint="eastAsia" w:asciiTheme="minorEastAsia" w:hAnsiTheme="minorEastAsia" w:eastAsiaTheme="minorEastAsia" w:cstheme="minorEastAsia"/>
            </w:rPr>
            <w:fldChar w:fldCharType="begin"/>
          </w:r>
          <w:r>
            <w:rPr>
              <w:rFonts w:hint="eastAsia" w:asciiTheme="minorEastAsia" w:hAnsiTheme="minorEastAsia" w:eastAsiaTheme="minorEastAsia" w:cstheme="minorEastAsia"/>
            </w:rPr>
            <w:instrText xml:space="preserve">TOC \o "1-3" \h \u </w:instrText>
          </w:r>
          <w:r>
            <w:rPr>
              <w:rFonts w:hint="eastAsia" w:asciiTheme="minorEastAsia" w:hAnsiTheme="minorEastAsia" w:eastAsiaTheme="minorEastAsia" w:cstheme="minorEastAsia"/>
            </w:rPr>
            <w:fldChar w:fldCharType="separate"/>
          </w:r>
          <w:r>
            <w:rPr>
              <w:rFonts w:hint="eastAsia" w:asciiTheme="minorEastAsia" w:hAnsiTheme="minorEastAsia" w:eastAsiaTheme="minorEastAsia" w:cstheme="minorEastAsia"/>
            </w:rPr>
            <w:fldChar w:fldCharType="begin"/>
          </w:r>
          <w:r>
            <w:rPr>
              <w:rFonts w:hint="eastAsia" w:asciiTheme="minorEastAsia" w:hAnsiTheme="minorEastAsia" w:eastAsiaTheme="minorEastAsia" w:cstheme="minorEastAsia"/>
            </w:rPr>
            <w:instrText xml:space="preserve"> HYPERLINK \l _Toc31176 </w:instrText>
          </w:r>
          <w:r>
            <w:rPr>
              <w:rFonts w:hint="eastAsia" w:asciiTheme="minorEastAsia" w:hAnsiTheme="minorEastAsia" w:eastAsiaTheme="minorEastAsia" w:cstheme="minorEastAsia"/>
            </w:rPr>
            <w:fldChar w:fldCharType="separate"/>
          </w:r>
          <w:r>
            <w:rPr>
              <w:rFonts w:hint="eastAsia" w:asciiTheme="minorEastAsia" w:hAnsiTheme="minorEastAsia" w:eastAsiaTheme="minorEastAsia" w:cstheme="minorEastAsia"/>
            </w:rPr>
            <w:t>前言</w:t>
          </w:r>
          <w:r>
            <w:rPr>
              <w:rFonts w:hint="eastAsia" w:asciiTheme="minorEastAsia" w:hAnsiTheme="minorEastAsia" w:eastAsiaTheme="minorEastAsia" w:cstheme="minorEastAsia"/>
            </w:rPr>
            <w:tab/>
          </w:r>
          <w:r>
            <w:rPr>
              <w:rFonts w:hint="eastAsia" w:asciiTheme="minorEastAsia" w:hAnsiTheme="minorEastAsia" w:eastAsiaTheme="minorEastAsia" w:cstheme="minorEastAsia"/>
            </w:rPr>
            <w:fldChar w:fldCharType="begin"/>
          </w:r>
          <w:r>
            <w:rPr>
              <w:rFonts w:hint="eastAsia" w:asciiTheme="minorEastAsia" w:hAnsiTheme="minorEastAsia" w:eastAsiaTheme="minorEastAsia" w:cstheme="minorEastAsia"/>
            </w:rPr>
            <w:instrText xml:space="preserve"> PAGEREF _Toc31176 \h </w:instrText>
          </w:r>
          <w:r>
            <w:rPr>
              <w:rFonts w:hint="eastAsia" w:asciiTheme="minorEastAsia" w:hAnsiTheme="minorEastAsia" w:eastAsiaTheme="minorEastAsia" w:cstheme="minorEastAsia"/>
            </w:rPr>
            <w:fldChar w:fldCharType="separate"/>
          </w:r>
          <w:r>
            <w:rPr>
              <w:rFonts w:hint="eastAsia" w:asciiTheme="minorEastAsia" w:hAnsiTheme="minorEastAsia" w:eastAsiaTheme="minorEastAsia" w:cstheme="minorEastAsia"/>
            </w:rPr>
            <w:t>III</w:t>
          </w:r>
          <w:r>
            <w:rPr>
              <w:rFonts w:hint="eastAsia" w:asciiTheme="minorEastAsia" w:hAnsiTheme="minorEastAsia" w:eastAsiaTheme="minorEastAsia" w:cstheme="minorEastAsia"/>
            </w:rPr>
            <w:fldChar w:fldCharType="end"/>
          </w:r>
          <w:r>
            <w:rPr>
              <w:rFonts w:hint="eastAsia" w:asciiTheme="minorEastAsia" w:hAnsiTheme="minorEastAsia" w:eastAsiaTheme="minorEastAsia" w:cstheme="minorEastAsia"/>
            </w:rPr>
            <w:fldChar w:fldCharType="end"/>
          </w:r>
        </w:p>
        <w:p w14:paraId="7CA4D70D">
          <w:pPr>
            <w:pStyle w:val="7"/>
            <w:keepLines w:val="0"/>
            <w:tabs>
              <w:tab w:val="right" w:leader="dot" w:pos="9071"/>
            </w:tabs>
            <w:kinsoku/>
            <w:wordWrap/>
            <w:overflowPunct/>
            <w:topLinePunct w:val="0"/>
            <w:bidi w:val="0"/>
            <w:spacing w:line="240" w:lineRule="auto"/>
            <w:ind w:left="0" w:leftChars="0" w:firstLine="0" w:firstLineChars="0"/>
            <w:rPr>
              <w:rFonts w:hint="eastAsia" w:asciiTheme="minorEastAsia" w:hAnsiTheme="minorEastAsia" w:eastAsiaTheme="minorEastAsia" w:cstheme="minorEastAsia"/>
            </w:rPr>
          </w:pPr>
          <w:r>
            <w:rPr>
              <w:rFonts w:hint="eastAsia" w:asciiTheme="minorEastAsia" w:hAnsiTheme="minorEastAsia" w:eastAsiaTheme="minorEastAsia" w:cstheme="minorEastAsia"/>
            </w:rPr>
            <w:fldChar w:fldCharType="begin"/>
          </w:r>
          <w:r>
            <w:rPr>
              <w:rFonts w:hint="eastAsia" w:asciiTheme="minorEastAsia" w:hAnsiTheme="minorEastAsia" w:eastAsiaTheme="minorEastAsia" w:cstheme="minorEastAsia"/>
            </w:rPr>
            <w:instrText xml:space="preserve"> HYPERLINK \l _Toc28017 </w:instrText>
          </w:r>
          <w:r>
            <w:rPr>
              <w:rFonts w:hint="eastAsia" w:asciiTheme="minorEastAsia" w:hAnsiTheme="minorEastAsia" w:eastAsiaTheme="minorEastAsia" w:cstheme="minorEastAsia"/>
            </w:rPr>
            <w:fldChar w:fldCharType="separate"/>
          </w:r>
          <w:r>
            <w:rPr>
              <w:rFonts w:hint="eastAsia" w:asciiTheme="minorEastAsia" w:hAnsiTheme="minorEastAsia" w:eastAsiaTheme="minorEastAsia" w:cstheme="minorEastAsia"/>
              <w:i w:val="0"/>
              <w:szCs w:val="21"/>
            </w:rPr>
            <w:t xml:space="preserve">1 </w:t>
          </w:r>
          <w:r>
            <w:rPr>
              <w:rFonts w:hint="eastAsia" w:asciiTheme="minorEastAsia" w:hAnsiTheme="minorEastAsia" w:eastAsiaTheme="minorEastAsia" w:cstheme="minorEastAsia"/>
              <w:szCs w:val="21"/>
            </w:rPr>
            <w:t>范围</w:t>
          </w:r>
          <w:r>
            <w:rPr>
              <w:rFonts w:hint="eastAsia" w:asciiTheme="minorEastAsia" w:hAnsiTheme="minorEastAsia" w:eastAsiaTheme="minorEastAsia" w:cstheme="minorEastAsia"/>
            </w:rPr>
            <w:tab/>
          </w:r>
          <w:r>
            <w:rPr>
              <w:rFonts w:hint="eastAsia" w:asciiTheme="minorEastAsia" w:hAnsiTheme="minorEastAsia" w:eastAsiaTheme="minorEastAsia" w:cstheme="minorEastAsia"/>
            </w:rPr>
            <w:fldChar w:fldCharType="begin"/>
          </w:r>
          <w:r>
            <w:rPr>
              <w:rFonts w:hint="eastAsia" w:asciiTheme="minorEastAsia" w:hAnsiTheme="minorEastAsia" w:eastAsiaTheme="minorEastAsia" w:cstheme="minorEastAsia"/>
            </w:rPr>
            <w:instrText xml:space="preserve"> PAGEREF _Toc28017 \h </w:instrText>
          </w:r>
          <w:r>
            <w:rPr>
              <w:rFonts w:hint="eastAsia" w:asciiTheme="minorEastAsia" w:hAnsiTheme="minorEastAsia" w:eastAsiaTheme="minorEastAsia" w:cstheme="minorEastAsia"/>
            </w:rPr>
            <w:fldChar w:fldCharType="separate"/>
          </w:r>
          <w:r>
            <w:rPr>
              <w:rFonts w:hint="eastAsia" w:asciiTheme="minorEastAsia" w:hAnsiTheme="minorEastAsia" w:eastAsiaTheme="minorEastAsia" w:cstheme="minorEastAsia"/>
            </w:rPr>
            <w:t>4</w:t>
          </w:r>
          <w:r>
            <w:rPr>
              <w:rFonts w:hint="eastAsia" w:asciiTheme="minorEastAsia" w:hAnsiTheme="minorEastAsia" w:eastAsiaTheme="minorEastAsia" w:cstheme="minorEastAsia"/>
            </w:rPr>
            <w:fldChar w:fldCharType="end"/>
          </w:r>
          <w:r>
            <w:rPr>
              <w:rFonts w:hint="eastAsia" w:asciiTheme="minorEastAsia" w:hAnsiTheme="minorEastAsia" w:eastAsiaTheme="minorEastAsia" w:cstheme="minorEastAsia"/>
            </w:rPr>
            <w:fldChar w:fldCharType="end"/>
          </w:r>
        </w:p>
        <w:p w14:paraId="263A3DB2">
          <w:pPr>
            <w:pStyle w:val="7"/>
            <w:keepLines w:val="0"/>
            <w:tabs>
              <w:tab w:val="right" w:leader="dot" w:pos="9071"/>
            </w:tabs>
            <w:kinsoku/>
            <w:wordWrap/>
            <w:overflowPunct/>
            <w:topLinePunct w:val="0"/>
            <w:bidi w:val="0"/>
            <w:spacing w:line="240" w:lineRule="auto"/>
            <w:ind w:left="0" w:leftChars="0" w:firstLine="0" w:firstLineChars="0"/>
            <w:rPr>
              <w:rFonts w:hint="eastAsia" w:asciiTheme="minorEastAsia" w:hAnsiTheme="minorEastAsia" w:eastAsiaTheme="minorEastAsia" w:cstheme="minorEastAsia"/>
            </w:rPr>
          </w:pPr>
          <w:r>
            <w:rPr>
              <w:rFonts w:hint="eastAsia" w:asciiTheme="minorEastAsia" w:hAnsiTheme="minorEastAsia" w:eastAsiaTheme="minorEastAsia" w:cstheme="minorEastAsia"/>
            </w:rPr>
            <w:fldChar w:fldCharType="begin"/>
          </w:r>
          <w:r>
            <w:rPr>
              <w:rFonts w:hint="eastAsia" w:asciiTheme="minorEastAsia" w:hAnsiTheme="minorEastAsia" w:eastAsiaTheme="minorEastAsia" w:cstheme="minorEastAsia"/>
            </w:rPr>
            <w:instrText xml:space="preserve"> HYPERLINK \l _Toc22146 </w:instrText>
          </w:r>
          <w:r>
            <w:rPr>
              <w:rFonts w:hint="eastAsia" w:asciiTheme="minorEastAsia" w:hAnsiTheme="minorEastAsia" w:eastAsiaTheme="minorEastAsia" w:cstheme="minorEastAsia"/>
            </w:rPr>
            <w:fldChar w:fldCharType="separate"/>
          </w:r>
          <w:r>
            <w:rPr>
              <w:rFonts w:hint="eastAsia" w:asciiTheme="minorEastAsia" w:hAnsiTheme="minorEastAsia" w:eastAsiaTheme="minorEastAsia" w:cstheme="minorEastAsia"/>
              <w:i w:val="0"/>
              <w:szCs w:val="21"/>
            </w:rPr>
            <w:t xml:space="preserve">2 </w:t>
          </w:r>
          <w:r>
            <w:rPr>
              <w:rFonts w:hint="eastAsia" w:asciiTheme="minorEastAsia" w:hAnsiTheme="minorEastAsia" w:eastAsiaTheme="minorEastAsia" w:cstheme="minorEastAsia"/>
              <w:szCs w:val="21"/>
            </w:rPr>
            <w:t>规范性引用文件</w:t>
          </w:r>
          <w:r>
            <w:rPr>
              <w:rFonts w:hint="eastAsia" w:asciiTheme="minorEastAsia" w:hAnsiTheme="minorEastAsia" w:eastAsiaTheme="minorEastAsia" w:cstheme="minorEastAsia"/>
            </w:rPr>
            <w:tab/>
          </w:r>
          <w:r>
            <w:rPr>
              <w:rFonts w:hint="eastAsia" w:asciiTheme="minorEastAsia" w:hAnsiTheme="minorEastAsia" w:eastAsiaTheme="minorEastAsia" w:cstheme="minorEastAsia"/>
            </w:rPr>
            <w:fldChar w:fldCharType="begin"/>
          </w:r>
          <w:r>
            <w:rPr>
              <w:rFonts w:hint="eastAsia" w:asciiTheme="minorEastAsia" w:hAnsiTheme="minorEastAsia" w:eastAsiaTheme="minorEastAsia" w:cstheme="minorEastAsia"/>
            </w:rPr>
            <w:instrText xml:space="preserve"> PAGEREF _Toc22146 \h </w:instrText>
          </w:r>
          <w:r>
            <w:rPr>
              <w:rFonts w:hint="eastAsia" w:asciiTheme="minorEastAsia" w:hAnsiTheme="minorEastAsia" w:eastAsiaTheme="minorEastAsia" w:cstheme="minorEastAsia"/>
            </w:rPr>
            <w:fldChar w:fldCharType="separate"/>
          </w:r>
          <w:r>
            <w:rPr>
              <w:rFonts w:hint="eastAsia" w:asciiTheme="minorEastAsia" w:hAnsiTheme="minorEastAsia" w:eastAsiaTheme="minorEastAsia" w:cstheme="minorEastAsia"/>
            </w:rPr>
            <w:t>4</w:t>
          </w:r>
          <w:r>
            <w:rPr>
              <w:rFonts w:hint="eastAsia" w:asciiTheme="minorEastAsia" w:hAnsiTheme="minorEastAsia" w:eastAsiaTheme="minorEastAsia" w:cstheme="minorEastAsia"/>
            </w:rPr>
            <w:fldChar w:fldCharType="end"/>
          </w:r>
          <w:r>
            <w:rPr>
              <w:rFonts w:hint="eastAsia" w:asciiTheme="minorEastAsia" w:hAnsiTheme="minorEastAsia" w:eastAsiaTheme="minorEastAsia" w:cstheme="minorEastAsia"/>
            </w:rPr>
            <w:fldChar w:fldCharType="end"/>
          </w:r>
        </w:p>
        <w:p w14:paraId="3821ABE3">
          <w:pPr>
            <w:pStyle w:val="7"/>
            <w:keepLines w:val="0"/>
            <w:tabs>
              <w:tab w:val="right" w:leader="dot" w:pos="9071"/>
            </w:tabs>
            <w:kinsoku/>
            <w:wordWrap/>
            <w:overflowPunct/>
            <w:topLinePunct w:val="0"/>
            <w:bidi w:val="0"/>
            <w:spacing w:line="240" w:lineRule="auto"/>
            <w:ind w:left="0" w:leftChars="0" w:firstLine="0" w:firstLineChars="0"/>
            <w:rPr>
              <w:rFonts w:hint="eastAsia" w:asciiTheme="minorEastAsia" w:hAnsiTheme="minorEastAsia" w:eastAsiaTheme="minorEastAsia" w:cstheme="minorEastAsia"/>
            </w:rPr>
          </w:pPr>
          <w:r>
            <w:rPr>
              <w:rFonts w:hint="eastAsia" w:asciiTheme="minorEastAsia" w:hAnsiTheme="minorEastAsia" w:eastAsiaTheme="minorEastAsia" w:cstheme="minorEastAsia"/>
            </w:rPr>
            <w:fldChar w:fldCharType="begin"/>
          </w:r>
          <w:r>
            <w:rPr>
              <w:rFonts w:hint="eastAsia" w:asciiTheme="minorEastAsia" w:hAnsiTheme="minorEastAsia" w:eastAsiaTheme="minorEastAsia" w:cstheme="minorEastAsia"/>
            </w:rPr>
            <w:instrText xml:space="preserve"> HYPERLINK \l _Toc14493 </w:instrText>
          </w:r>
          <w:r>
            <w:rPr>
              <w:rFonts w:hint="eastAsia" w:asciiTheme="minorEastAsia" w:hAnsiTheme="minorEastAsia" w:eastAsiaTheme="minorEastAsia" w:cstheme="minorEastAsia"/>
            </w:rPr>
            <w:fldChar w:fldCharType="separate"/>
          </w:r>
          <w:r>
            <w:rPr>
              <w:rFonts w:hint="eastAsia" w:asciiTheme="minorEastAsia" w:hAnsiTheme="minorEastAsia" w:eastAsiaTheme="minorEastAsia" w:cstheme="minorEastAsia"/>
              <w:i w:val="0"/>
              <w:szCs w:val="21"/>
            </w:rPr>
            <w:t xml:space="preserve">3 </w:t>
          </w:r>
          <w:r>
            <w:rPr>
              <w:rFonts w:hint="eastAsia" w:asciiTheme="minorEastAsia" w:hAnsiTheme="minorEastAsia" w:eastAsiaTheme="minorEastAsia" w:cstheme="minorEastAsia"/>
              <w:szCs w:val="21"/>
            </w:rPr>
            <w:t>术语和定义</w:t>
          </w:r>
          <w:r>
            <w:rPr>
              <w:rFonts w:hint="eastAsia" w:asciiTheme="minorEastAsia" w:hAnsiTheme="minorEastAsia" w:eastAsiaTheme="minorEastAsia" w:cstheme="minorEastAsia"/>
            </w:rPr>
            <w:tab/>
          </w:r>
          <w:r>
            <w:rPr>
              <w:rFonts w:hint="eastAsia" w:asciiTheme="minorEastAsia" w:hAnsiTheme="minorEastAsia" w:eastAsiaTheme="minorEastAsia" w:cstheme="minorEastAsia"/>
            </w:rPr>
            <w:fldChar w:fldCharType="begin"/>
          </w:r>
          <w:r>
            <w:rPr>
              <w:rFonts w:hint="eastAsia" w:asciiTheme="minorEastAsia" w:hAnsiTheme="minorEastAsia" w:eastAsiaTheme="minorEastAsia" w:cstheme="minorEastAsia"/>
            </w:rPr>
            <w:instrText xml:space="preserve"> PAGEREF _Toc14493 \h </w:instrText>
          </w:r>
          <w:r>
            <w:rPr>
              <w:rFonts w:hint="eastAsia" w:asciiTheme="minorEastAsia" w:hAnsiTheme="minorEastAsia" w:eastAsiaTheme="minorEastAsia" w:cstheme="minorEastAsia"/>
            </w:rPr>
            <w:fldChar w:fldCharType="separate"/>
          </w:r>
          <w:r>
            <w:rPr>
              <w:rFonts w:hint="eastAsia" w:asciiTheme="minorEastAsia" w:hAnsiTheme="minorEastAsia" w:eastAsiaTheme="minorEastAsia" w:cstheme="minorEastAsia"/>
            </w:rPr>
            <w:t>4</w:t>
          </w:r>
          <w:r>
            <w:rPr>
              <w:rFonts w:hint="eastAsia" w:asciiTheme="minorEastAsia" w:hAnsiTheme="minorEastAsia" w:eastAsiaTheme="minorEastAsia" w:cstheme="minorEastAsia"/>
            </w:rPr>
            <w:fldChar w:fldCharType="end"/>
          </w:r>
          <w:r>
            <w:rPr>
              <w:rFonts w:hint="eastAsia" w:asciiTheme="minorEastAsia" w:hAnsiTheme="minorEastAsia" w:eastAsiaTheme="minorEastAsia" w:cstheme="minorEastAsia"/>
            </w:rPr>
            <w:fldChar w:fldCharType="end"/>
          </w:r>
        </w:p>
        <w:p w14:paraId="204FC6D1">
          <w:pPr>
            <w:pStyle w:val="7"/>
            <w:keepLines w:val="0"/>
            <w:tabs>
              <w:tab w:val="right" w:leader="dot" w:pos="9071"/>
            </w:tabs>
            <w:kinsoku/>
            <w:wordWrap/>
            <w:overflowPunct/>
            <w:topLinePunct w:val="0"/>
            <w:bidi w:val="0"/>
            <w:spacing w:line="240" w:lineRule="auto"/>
            <w:ind w:left="0" w:leftChars="0" w:firstLine="0" w:firstLineChars="0"/>
            <w:rPr>
              <w:rFonts w:hint="eastAsia" w:asciiTheme="minorEastAsia" w:hAnsiTheme="minorEastAsia" w:eastAsiaTheme="minorEastAsia" w:cstheme="minorEastAsia"/>
            </w:rPr>
          </w:pPr>
          <w:r>
            <w:rPr>
              <w:rFonts w:hint="eastAsia" w:asciiTheme="minorEastAsia" w:hAnsiTheme="minorEastAsia" w:eastAsiaTheme="minorEastAsia" w:cstheme="minorEastAsia"/>
            </w:rPr>
            <w:fldChar w:fldCharType="begin"/>
          </w:r>
          <w:r>
            <w:rPr>
              <w:rFonts w:hint="eastAsia" w:asciiTheme="minorEastAsia" w:hAnsiTheme="minorEastAsia" w:eastAsiaTheme="minorEastAsia" w:cstheme="minorEastAsia"/>
            </w:rPr>
            <w:instrText xml:space="preserve"> HYPERLINK \l _Toc17592 </w:instrText>
          </w:r>
          <w:r>
            <w:rPr>
              <w:rFonts w:hint="eastAsia" w:asciiTheme="minorEastAsia" w:hAnsiTheme="minorEastAsia" w:eastAsiaTheme="minorEastAsia" w:cstheme="minorEastAsia"/>
            </w:rPr>
            <w:fldChar w:fldCharType="separate"/>
          </w:r>
          <w:r>
            <w:rPr>
              <w:rFonts w:hint="eastAsia" w:asciiTheme="minorEastAsia" w:hAnsiTheme="minorEastAsia" w:eastAsiaTheme="minorEastAsia" w:cstheme="minorEastAsia"/>
              <w:i w:val="0"/>
              <w:szCs w:val="21"/>
              <w:lang w:val="en-US" w:eastAsia="zh-CN"/>
            </w:rPr>
            <w:t xml:space="preserve">4 </w:t>
          </w:r>
          <w:r>
            <w:rPr>
              <w:rFonts w:hint="eastAsia" w:asciiTheme="minorEastAsia" w:hAnsiTheme="minorEastAsia" w:eastAsiaTheme="minorEastAsia" w:cstheme="minorEastAsia"/>
              <w:szCs w:val="21"/>
              <w:lang w:val="en-US" w:eastAsia="zh-CN"/>
            </w:rPr>
            <w:t>评价原则</w:t>
          </w:r>
          <w:r>
            <w:rPr>
              <w:rFonts w:hint="eastAsia" w:asciiTheme="minorEastAsia" w:hAnsiTheme="minorEastAsia" w:eastAsiaTheme="minorEastAsia" w:cstheme="minorEastAsia"/>
            </w:rPr>
            <w:tab/>
          </w:r>
          <w:r>
            <w:rPr>
              <w:rFonts w:hint="eastAsia" w:asciiTheme="minorEastAsia" w:hAnsiTheme="minorEastAsia" w:eastAsiaTheme="minorEastAsia" w:cstheme="minorEastAsia"/>
            </w:rPr>
            <w:fldChar w:fldCharType="begin"/>
          </w:r>
          <w:r>
            <w:rPr>
              <w:rFonts w:hint="eastAsia" w:asciiTheme="minorEastAsia" w:hAnsiTheme="minorEastAsia" w:eastAsiaTheme="minorEastAsia" w:cstheme="minorEastAsia"/>
            </w:rPr>
            <w:instrText xml:space="preserve"> PAGEREF _Toc17592 \h </w:instrText>
          </w:r>
          <w:r>
            <w:rPr>
              <w:rFonts w:hint="eastAsia" w:asciiTheme="minorEastAsia" w:hAnsiTheme="minorEastAsia" w:eastAsiaTheme="minorEastAsia" w:cstheme="minorEastAsia"/>
            </w:rPr>
            <w:fldChar w:fldCharType="separate"/>
          </w:r>
          <w:r>
            <w:rPr>
              <w:rFonts w:hint="eastAsia" w:asciiTheme="minorEastAsia" w:hAnsiTheme="minorEastAsia" w:eastAsiaTheme="minorEastAsia" w:cstheme="minorEastAsia"/>
            </w:rPr>
            <w:t>5</w:t>
          </w:r>
          <w:r>
            <w:rPr>
              <w:rFonts w:hint="eastAsia" w:asciiTheme="minorEastAsia" w:hAnsiTheme="minorEastAsia" w:eastAsiaTheme="minorEastAsia" w:cstheme="minorEastAsia"/>
            </w:rPr>
            <w:fldChar w:fldCharType="end"/>
          </w:r>
          <w:r>
            <w:rPr>
              <w:rFonts w:hint="eastAsia" w:asciiTheme="minorEastAsia" w:hAnsiTheme="minorEastAsia" w:eastAsiaTheme="minorEastAsia" w:cstheme="minorEastAsia"/>
            </w:rPr>
            <w:fldChar w:fldCharType="end"/>
          </w:r>
        </w:p>
        <w:p w14:paraId="4DCB6AA4">
          <w:pPr>
            <w:pStyle w:val="7"/>
            <w:keepLines w:val="0"/>
            <w:tabs>
              <w:tab w:val="right" w:leader="dot" w:pos="9071"/>
            </w:tabs>
            <w:kinsoku/>
            <w:wordWrap/>
            <w:overflowPunct/>
            <w:topLinePunct w:val="0"/>
            <w:bidi w:val="0"/>
            <w:spacing w:line="240" w:lineRule="auto"/>
            <w:ind w:left="0" w:leftChars="0" w:firstLine="0" w:firstLineChars="0"/>
            <w:rPr>
              <w:rFonts w:hint="eastAsia" w:asciiTheme="minorEastAsia" w:hAnsiTheme="minorEastAsia" w:eastAsiaTheme="minorEastAsia" w:cstheme="minorEastAsia"/>
            </w:rPr>
          </w:pPr>
          <w:r>
            <w:rPr>
              <w:rFonts w:hint="eastAsia" w:asciiTheme="minorEastAsia" w:hAnsiTheme="minorEastAsia" w:eastAsiaTheme="minorEastAsia" w:cstheme="minorEastAsia"/>
            </w:rPr>
            <w:fldChar w:fldCharType="begin"/>
          </w:r>
          <w:r>
            <w:rPr>
              <w:rFonts w:hint="eastAsia" w:asciiTheme="minorEastAsia" w:hAnsiTheme="minorEastAsia" w:eastAsiaTheme="minorEastAsia" w:cstheme="minorEastAsia"/>
            </w:rPr>
            <w:instrText xml:space="preserve"> HYPERLINK \l _Toc5155 </w:instrText>
          </w:r>
          <w:r>
            <w:rPr>
              <w:rFonts w:hint="eastAsia" w:asciiTheme="minorEastAsia" w:hAnsiTheme="minorEastAsia" w:eastAsiaTheme="minorEastAsia" w:cstheme="minorEastAsia"/>
            </w:rPr>
            <w:fldChar w:fldCharType="separate"/>
          </w:r>
          <w:r>
            <w:rPr>
              <w:rFonts w:hint="eastAsia" w:asciiTheme="minorEastAsia" w:hAnsiTheme="minorEastAsia" w:eastAsiaTheme="minorEastAsia" w:cstheme="minorEastAsia"/>
              <w:i w:val="0"/>
              <w:szCs w:val="21"/>
              <w:lang w:val="en-US" w:eastAsia="zh-CN"/>
            </w:rPr>
            <w:t xml:space="preserve">5 </w:t>
          </w:r>
          <w:r>
            <w:rPr>
              <w:rFonts w:hint="eastAsia" w:asciiTheme="minorEastAsia" w:hAnsiTheme="minorEastAsia" w:eastAsiaTheme="minorEastAsia" w:cstheme="minorEastAsia"/>
              <w:szCs w:val="21"/>
              <w:lang w:val="en-US" w:eastAsia="zh-CN"/>
            </w:rPr>
            <w:t>评价内容</w:t>
          </w:r>
          <w:r>
            <w:rPr>
              <w:rFonts w:hint="eastAsia" w:asciiTheme="minorEastAsia" w:hAnsiTheme="minorEastAsia" w:eastAsiaTheme="minorEastAsia" w:cstheme="minorEastAsia"/>
            </w:rPr>
            <w:tab/>
          </w:r>
          <w:r>
            <w:rPr>
              <w:rFonts w:hint="eastAsia" w:asciiTheme="minorEastAsia" w:hAnsiTheme="minorEastAsia" w:eastAsiaTheme="minorEastAsia" w:cstheme="minorEastAsia"/>
            </w:rPr>
            <w:fldChar w:fldCharType="begin"/>
          </w:r>
          <w:r>
            <w:rPr>
              <w:rFonts w:hint="eastAsia" w:asciiTheme="minorEastAsia" w:hAnsiTheme="minorEastAsia" w:eastAsiaTheme="minorEastAsia" w:cstheme="minorEastAsia"/>
            </w:rPr>
            <w:instrText xml:space="preserve"> PAGEREF _Toc5155 \h </w:instrText>
          </w:r>
          <w:r>
            <w:rPr>
              <w:rFonts w:hint="eastAsia" w:asciiTheme="minorEastAsia" w:hAnsiTheme="minorEastAsia" w:eastAsiaTheme="minorEastAsia" w:cstheme="minorEastAsia"/>
            </w:rPr>
            <w:fldChar w:fldCharType="separate"/>
          </w:r>
          <w:r>
            <w:rPr>
              <w:rFonts w:hint="eastAsia" w:asciiTheme="minorEastAsia" w:hAnsiTheme="minorEastAsia" w:eastAsiaTheme="minorEastAsia" w:cstheme="minorEastAsia"/>
            </w:rPr>
            <w:t>5</w:t>
          </w:r>
          <w:r>
            <w:rPr>
              <w:rFonts w:hint="eastAsia" w:asciiTheme="minorEastAsia" w:hAnsiTheme="minorEastAsia" w:eastAsiaTheme="minorEastAsia" w:cstheme="minorEastAsia"/>
            </w:rPr>
            <w:fldChar w:fldCharType="end"/>
          </w:r>
          <w:r>
            <w:rPr>
              <w:rFonts w:hint="eastAsia" w:asciiTheme="minorEastAsia" w:hAnsiTheme="minorEastAsia" w:eastAsiaTheme="minorEastAsia" w:cstheme="minorEastAsia"/>
            </w:rPr>
            <w:fldChar w:fldCharType="end"/>
          </w:r>
        </w:p>
        <w:p w14:paraId="3EA16B38">
          <w:pPr>
            <w:pStyle w:val="3"/>
            <w:keepLines w:val="0"/>
            <w:tabs>
              <w:tab w:val="right" w:leader="dot" w:pos="9071"/>
            </w:tabs>
            <w:kinsoku/>
            <w:wordWrap/>
            <w:overflowPunct/>
            <w:topLinePunct w:val="0"/>
            <w:bidi w:val="0"/>
            <w:spacing w:line="240" w:lineRule="auto"/>
            <w:ind w:left="0" w:leftChars="0" w:firstLine="210" w:firstLineChars="100"/>
            <w:rPr>
              <w:rFonts w:hint="eastAsia" w:asciiTheme="minorEastAsia" w:hAnsiTheme="minorEastAsia" w:eastAsiaTheme="minorEastAsia" w:cstheme="minorEastAsia"/>
            </w:rPr>
          </w:pPr>
          <w:r>
            <w:rPr>
              <w:rFonts w:hint="eastAsia" w:asciiTheme="minorEastAsia" w:hAnsiTheme="minorEastAsia" w:eastAsiaTheme="minorEastAsia" w:cstheme="minorEastAsia"/>
            </w:rPr>
            <w:fldChar w:fldCharType="begin"/>
          </w:r>
          <w:r>
            <w:rPr>
              <w:rFonts w:hint="eastAsia" w:asciiTheme="minorEastAsia" w:hAnsiTheme="minorEastAsia" w:eastAsiaTheme="minorEastAsia" w:cstheme="minorEastAsia"/>
            </w:rPr>
            <w:instrText xml:space="preserve"> HYPERLINK \l _Toc22083 </w:instrText>
          </w:r>
          <w:r>
            <w:rPr>
              <w:rFonts w:hint="eastAsia" w:asciiTheme="minorEastAsia" w:hAnsiTheme="minorEastAsia" w:eastAsiaTheme="minorEastAsia" w:cstheme="minorEastAsia"/>
            </w:rPr>
            <w:fldChar w:fldCharType="separate"/>
          </w:r>
          <w:r>
            <w:rPr>
              <w:rFonts w:hint="eastAsia" w:asciiTheme="minorEastAsia" w:hAnsiTheme="minorEastAsia" w:eastAsiaTheme="minorEastAsia" w:cstheme="minorEastAsia"/>
              <w:bCs w:val="0"/>
              <w:i w:val="0"/>
              <w:iCs w:val="0"/>
              <w:caps w:val="0"/>
              <w:strike w:val="0"/>
              <w:dstrike w:val="0"/>
              <w:vanish w:val="0"/>
              <w:spacing w:val="0"/>
              <w:kern w:val="0"/>
              <w:position w:val="0"/>
              <w:szCs w:val="21"/>
              <w:vertAlign w:val="baseline"/>
              <w:lang w:val="en-US" w:eastAsia="zh-CN"/>
              <w14:shadow w14:blurRad="0" w14:dist="0" w14:dir="0" w14:sx="0" w14:sy="0" w14:kx="0" w14:ky="0" w14:algn="none">
                <w14:srgbClr w14:val="000000"/>
              </w14:shadow>
            </w:rPr>
            <w:t xml:space="preserve">5.1 </w:t>
          </w:r>
          <w:r>
            <w:rPr>
              <w:rFonts w:hint="eastAsia" w:asciiTheme="minorEastAsia" w:hAnsiTheme="minorEastAsia" w:eastAsiaTheme="minorEastAsia" w:cstheme="minorEastAsia"/>
              <w:lang w:val="en-US" w:eastAsia="zh-CN"/>
            </w:rPr>
            <w:t>基本要求</w:t>
          </w:r>
          <w:r>
            <w:rPr>
              <w:rFonts w:hint="eastAsia" w:asciiTheme="minorEastAsia" w:hAnsiTheme="minorEastAsia" w:eastAsiaTheme="minorEastAsia" w:cstheme="minorEastAsia"/>
            </w:rPr>
            <w:tab/>
          </w:r>
          <w:r>
            <w:rPr>
              <w:rFonts w:hint="eastAsia" w:asciiTheme="minorEastAsia" w:hAnsiTheme="minorEastAsia" w:eastAsiaTheme="minorEastAsia" w:cstheme="minorEastAsia"/>
            </w:rPr>
            <w:fldChar w:fldCharType="begin"/>
          </w:r>
          <w:r>
            <w:rPr>
              <w:rFonts w:hint="eastAsia" w:asciiTheme="minorEastAsia" w:hAnsiTheme="minorEastAsia" w:eastAsiaTheme="minorEastAsia" w:cstheme="minorEastAsia"/>
            </w:rPr>
            <w:instrText xml:space="preserve"> PAGEREF _Toc22083 \h </w:instrText>
          </w:r>
          <w:r>
            <w:rPr>
              <w:rFonts w:hint="eastAsia" w:asciiTheme="minorEastAsia" w:hAnsiTheme="minorEastAsia" w:eastAsiaTheme="minorEastAsia" w:cstheme="minorEastAsia"/>
            </w:rPr>
            <w:fldChar w:fldCharType="separate"/>
          </w:r>
          <w:r>
            <w:rPr>
              <w:rFonts w:hint="eastAsia" w:asciiTheme="minorEastAsia" w:hAnsiTheme="minorEastAsia" w:eastAsiaTheme="minorEastAsia" w:cstheme="minorEastAsia"/>
            </w:rPr>
            <w:t>5</w:t>
          </w:r>
          <w:r>
            <w:rPr>
              <w:rFonts w:hint="eastAsia" w:asciiTheme="minorEastAsia" w:hAnsiTheme="minorEastAsia" w:eastAsiaTheme="minorEastAsia" w:cstheme="minorEastAsia"/>
            </w:rPr>
            <w:fldChar w:fldCharType="end"/>
          </w:r>
          <w:r>
            <w:rPr>
              <w:rFonts w:hint="eastAsia" w:asciiTheme="minorEastAsia" w:hAnsiTheme="minorEastAsia" w:eastAsiaTheme="minorEastAsia" w:cstheme="minorEastAsia"/>
            </w:rPr>
            <w:fldChar w:fldCharType="end"/>
          </w:r>
        </w:p>
        <w:p w14:paraId="02B40BD3">
          <w:pPr>
            <w:pStyle w:val="3"/>
            <w:keepLines w:val="0"/>
            <w:tabs>
              <w:tab w:val="right" w:leader="dot" w:pos="9071"/>
            </w:tabs>
            <w:kinsoku/>
            <w:wordWrap/>
            <w:overflowPunct/>
            <w:topLinePunct w:val="0"/>
            <w:bidi w:val="0"/>
            <w:spacing w:line="240" w:lineRule="auto"/>
            <w:ind w:left="0" w:leftChars="0" w:firstLine="210" w:firstLineChars="100"/>
            <w:rPr>
              <w:rFonts w:hint="eastAsia" w:asciiTheme="minorEastAsia" w:hAnsiTheme="minorEastAsia" w:eastAsiaTheme="minorEastAsia" w:cstheme="minorEastAsia"/>
            </w:rPr>
          </w:pPr>
          <w:r>
            <w:rPr>
              <w:rFonts w:hint="eastAsia" w:asciiTheme="minorEastAsia" w:hAnsiTheme="minorEastAsia" w:eastAsiaTheme="minorEastAsia" w:cstheme="minorEastAsia"/>
            </w:rPr>
            <w:fldChar w:fldCharType="begin"/>
          </w:r>
          <w:r>
            <w:rPr>
              <w:rFonts w:hint="eastAsia" w:asciiTheme="minorEastAsia" w:hAnsiTheme="minorEastAsia" w:eastAsiaTheme="minorEastAsia" w:cstheme="minorEastAsia"/>
            </w:rPr>
            <w:instrText xml:space="preserve"> HYPERLINK \l _Toc14559 </w:instrText>
          </w:r>
          <w:r>
            <w:rPr>
              <w:rFonts w:hint="eastAsia" w:asciiTheme="minorEastAsia" w:hAnsiTheme="minorEastAsia" w:eastAsiaTheme="minorEastAsia" w:cstheme="minorEastAsia"/>
            </w:rPr>
            <w:fldChar w:fldCharType="separate"/>
          </w:r>
          <w:r>
            <w:rPr>
              <w:rFonts w:hint="eastAsia" w:asciiTheme="minorEastAsia" w:hAnsiTheme="minorEastAsia" w:eastAsiaTheme="minorEastAsia" w:cstheme="minorEastAsia"/>
              <w:bCs w:val="0"/>
              <w:i w:val="0"/>
              <w:iCs w:val="0"/>
              <w:caps w:val="0"/>
              <w:strike w:val="0"/>
              <w:dstrike w:val="0"/>
              <w:vanish w:val="0"/>
              <w:spacing w:val="0"/>
              <w:kern w:val="0"/>
              <w:position w:val="0"/>
              <w:szCs w:val="21"/>
              <w:vertAlign w:val="baseline"/>
              <w:lang w:val="en-US" w:eastAsia="zh-CN"/>
              <w14:shadow w14:blurRad="0" w14:dist="0" w14:dir="0" w14:sx="0" w14:sy="0" w14:kx="0" w14:ky="0" w14:algn="none">
                <w14:srgbClr w14:val="000000"/>
              </w14:shadow>
            </w:rPr>
            <w:t xml:space="preserve">5.2 </w:t>
          </w:r>
          <w:r>
            <w:rPr>
              <w:rFonts w:hint="eastAsia" w:asciiTheme="minorEastAsia" w:hAnsiTheme="minorEastAsia" w:eastAsiaTheme="minorEastAsia" w:cstheme="minorEastAsia"/>
              <w:lang w:val="en-US" w:eastAsia="zh-CN"/>
            </w:rPr>
            <w:t>评价指标</w:t>
          </w:r>
          <w:r>
            <w:rPr>
              <w:rFonts w:hint="eastAsia" w:asciiTheme="minorEastAsia" w:hAnsiTheme="minorEastAsia" w:eastAsiaTheme="minorEastAsia" w:cstheme="minorEastAsia"/>
            </w:rPr>
            <w:tab/>
          </w:r>
          <w:r>
            <w:rPr>
              <w:rFonts w:hint="eastAsia" w:asciiTheme="minorEastAsia" w:hAnsiTheme="minorEastAsia" w:eastAsiaTheme="minorEastAsia" w:cstheme="minorEastAsia"/>
            </w:rPr>
            <w:fldChar w:fldCharType="begin"/>
          </w:r>
          <w:r>
            <w:rPr>
              <w:rFonts w:hint="eastAsia" w:asciiTheme="minorEastAsia" w:hAnsiTheme="minorEastAsia" w:eastAsiaTheme="minorEastAsia" w:cstheme="minorEastAsia"/>
            </w:rPr>
            <w:instrText xml:space="preserve"> PAGEREF _Toc14559 \h </w:instrText>
          </w:r>
          <w:r>
            <w:rPr>
              <w:rFonts w:hint="eastAsia" w:asciiTheme="minorEastAsia" w:hAnsiTheme="minorEastAsia" w:eastAsiaTheme="minorEastAsia" w:cstheme="minorEastAsia"/>
            </w:rPr>
            <w:fldChar w:fldCharType="separate"/>
          </w:r>
          <w:r>
            <w:rPr>
              <w:rFonts w:hint="eastAsia" w:asciiTheme="minorEastAsia" w:hAnsiTheme="minorEastAsia" w:eastAsiaTheme="minorEastAsia" w:cstheme="minorEastAsia"/>
            </w:rPr>
            <w:t>5</w:t>
          </w:r>
          <w:r>
            <w:rPr>
              <w:rFonts w:hint="eastAsia" w:asciiTheme="minorEastAsia" w:hAnsiTheme="minorEastAsia" w:eastAsiaTheme="minorEastAsia" w:cstheme="minorEastAsia"/>
            </w:rPr>
            <w:fldChar w:fldCharType="end"/>
          </w:r>
          <w:r>
            <w:rPr>
              <w:rFonts w:hint="eastAsia" w:asciiTheme="minorEastAsia" w:hAnsiTheme="minorEastAsia" w:eastAsiaTheme="minorEastAsia" w:cstheme="minorEastAsia"/>
            </w:rPr>
            <w:fldChar w:fldCharType="end"/>
          </w:r>
        </w:p>
        <w:p w14:paraId="425B95CA">
          <w:pPr>
            <w:pStyle w:val="7"/>
            <w:keepLines w:val="0"/>
            <w:tabs>
              <w:tab w:val="right" w:leader="dot" w:pos="9071"/>
            </w:tabs>
            <w:kinsoku/>
            <w:wordWrap/>
            <w:overflowPunct/>
            <w:topLinePunct w:val="0"/>
            <w:bidi w:val="0"/>
            <w:spacing w:line="240" w:lineRule="auto"/>
            <w:ind w:left="0" w:leftChars="0" w:firstLine="0" w:firstLineChars="0"/>
            <w:rPr>
              <w:rFonts w:hint="eastAsia" w:asciiTheme="minorEastAsia" w:hAnsiTheme="minorEastAsia" w:eastAsiaTheme="minorEastAsia" w:cstheme="minorEastAsia"/>
            </w:rPr>
          </w:pPr>
          <w:r>
            <w:rPr>
              <w:rFonts w:hint="eastAsia" w:asciiTheme="minorEastAsia" w:hAnsiTheme="minorEastAsia" w:eastAsiaTheme="minorEastAsia" w:cstheme="minorEastAsia"/>
            </w:rPr>
            <w:fldChar w:fldCharType="begin"/>
          </w:r>
          <w:r>
            <w:rPr>
              <w:rFonts w:hint="eastAsia" w:asciiTheme="minorEastAsia" w:hAnsiTheme="minorEastAsia" w:eastAsiaTheme="minorEastAsia" w:cstheme="minorEastAsia"/>
            </w:rPr>
            <w:instrText xml:space="preserve"> HYPERLINK \l _Toc12023 </w:instrText>
          </w:r>
          <w:r>
            <w:rPr>
              <w:rFonts w:hint="eastAsia" w:asciiTheme="minorEastAsia" w:hAnsiTheme="minorEastAsia" w:eastAsiaTheme="minorEastAsia" w:cstheme="minorEastAsia"/>
            </w:rPr>
            <w:fldChar w:fldCharType="separate"/>
          </w:r>
          <w:r>
            <w:rPr>
              <w:rFonts w:hint="eastAsia" w:asciiTheme="minorEastAsia" w:hAnsiTheme="minorEastAsia" w:eastAsiaTheme="minorEastAsia" w:cstheme="minorEastAsia"/>
              <w:i w:val="0"/>
              <w:szCs w:val="21"/>
              <w:lang w:val="en-US" w:eastAsia="zh-CN"/>
            </w:rPr>
            <w:t xml:space="preserve">6 </w:t>
          </w:r>
          <w:r>
            <w:rPr>
              <w:rFonts w:hint="eastAsia" w:asciiTheme="minorEastAsia" w:hAnsiTheme="minorEastAsia" w:eastAsiaTheme="minorEastAsia" w:cstheme="minorEastAsia"/>
              <w:szCs w:val="21"/>
              <w:lang w:val="en-US" w:eastAsia="zh-CN"/>
            </w:rPr>
            <w:t>评价实施</w:t>
          </w:r>
          <w:r>
            <w:rPr>
              <w:rFonts w:hint="eastAsia" w:asciiTheme="minorEastAsia" w:hAnsiTheme="minorEastAsia" w:eastAsiaTheme="minorEastAsia" w:cstheme="minorEastAsia"/>
            </w:rPr>
            <w:tab/>
          </w:r>
          <w:r>
            <w:rPr>
              <w:rFonts w:hint="eastAsia" w:asciiTheme="minorEastAsia" w:hAnsiTheme="minorEastAsia" w:eastAsiaTheme="minorEastAsia" w:cstheme="minorEastAsia"/>
            </w:rPr>
            <w:fldChar w:fldCharType="begin"/>
          </w:r>
          <w:r>
            <w:rPr>
              <w:rFonts w:hint="eastAsia" w:asciiTheme="minorEastAsia" w:hAnsiTheme="minorEastAsia" w:eastAsiaTheme="minorEastAsia" w:cstheme="minorEastAsia"/>
            </w:rPr>
            <w:instrText xml:space="preserve"> PAGEREF _Toc12023 \h </w:instrText>
          </w:r>
          <w:r>
            <w:rPr>
              <w:rFonts w:hint="eastAsia" w:asciiTheme="minorEastAsia" w:hAnsiTheme="minorEastAsia" w:eastAsiaTheme="minorEastAsia" w:cstheme="minorEastAsia"/>
            </w:rPr>
            <w:fldChar w:fldCharType="separate"/>
          </w:r>
          <w:r>
            <w:rPr>
              <w:rFonts w:hint="eastAsia" w:asciiTheme="minorEastAsia" w:hAnsiTheme="minorEastAsia" w:eastAsiaTheme="minorEastAsia" w:cstheme="minorEastAsia"/>
            </w:rPr>
            <w:t>6</w:t>
          </w:r>
          <w:r>
            <w:rPr>
              <w:rFonts w:hint="eastAsia" w:asciiTheme="minorEastAsia" w:hAnsiTheme="minorEastAsia" w:eastAsiaTheme="minorEastAsia" w:cstheme="minorEastAsia"/>
            </w:rPr>
            <w:fldChar w:fldCharType="end"/>
          </w:r>
          <w:r>
            <w:rPr>
              <w:rFonts w:hint="eastAsia" w:asciiTheme="minorEastAsia" w:hAnsiTheme="minorEastAsia" w:eastAsiaTheme="minorEastAsia" w:cstheme="minorEastAsia"/>
            </w:rPr>
            <w:fldChar w:fldCharType="end"/>
          </w:r>
        </w:p>
        <w:p w14:paraId="5A1A43A3">
          <w:pPr>
            <w:pStyle w:val="7"/>
            <w:keepLines w:val="0"/>
            <w:tabs>
              <w:tab w:val="right" w:leader="dot" w:pos="9071"/>
            </w:tabs>
            <w:kinsoku/>
            <w:wordWrap/>
            <w:overflowPunct/>
            <w:topLinePunct w:val="0"/>
            <w:bidi w:val="0"/>
            <w:spacing w:line="240" w:lineRule="auto"/>
            <w:ind w:left="0" w:leftChars="0" w:firstLine="0" w:firstLineChars="0"/>
            <w:rPr>
              <w:rFonts w:hint="eastAsia" w:asciiTheme="minorEastAsia" w:hAnsiTheme="minorEastAsia" w:eastAsiaTheme="minorEastAsia" w:cstheme="minorEastAsia"/>
            </w:rPr>
          </w:pPr>
          <w:r>
            <w:rPr>
              <w:rFonts w:hint="eastAsia" w:asciiTheme="minorEastAsia" w:hAnsiTheme="minorEastAsia" w:eastAsiaTheme="minorEastAsia" w:cstheme="minorEastAsia"/>
            </w:rPr>
            <w:fldChar w:fldCharType="begin"/>
          </w:r>
          <w:r>
            <w:rPr>
              <w:rFonts w:hint="eastAsia" w:asciiTheme="minorEastAsia" w:hAnsiTheme="minorEastAsia" w:eastAsiaTheme="minorEastAsia" w:cstheme="minorEastAsia"/>
            </w:rPr>
            <w:instrText xml:space="preserve"> HYPERLINK \l _Toc9188 </w:instrText>
          </w:r>
          <w:r>
            <w:rPr>
              <w:rFonts w:hint="eastAsia" w:asciiTheme="minorEastAsia" w:hAnsiTheme="minorEastAsia" w:eastAsiaTheme="minorEastAsia" w:cstheme="minorEastAsia"/>
            </w:rPr>
            <w:fldChar w:fldCharType="separate"/>
          </w:r>
          <w:r>
            <w:rPr>
              <w:rFonts w:hint="eastAsia" w:asciiTheme="minorEastAsia" w:hAnsiTheme="minorEastAsia" w:eastAsiaTheme="minorEastAsia" w:cstheme="minorEastAsia"/>
              <w:i w:val="0"/>
              <w:szCs w:val="21"/>
              <w:lang w:val="en-US" w:eastAsia="zh-CN"/>
            </w:rPr>
            <w:t xml:space="preserve">7 </w:t>
          </w:r>
          <w:r>
            <w:rPr>
              <w:rFonts w:hint="eastAsia" w:asciiTheme="minorEastAsia" w:hAnsiTheme="minorEastAsia" w:eastAsiaTheme="minorEastAsia" w:cstheme="minorEastAsia"/>
              <w:szCs w:val="21"/>
              <w:lang w:val="en-US" w:eastAsia="zh-CN"/>
            </w:rPr>
            <w:t>评价结果</w:t>
          </w:r>
          <w:r>
            <w:rPr>
              <w:rFonts w:hint="eastAsia" w:asciiTheme="minorEastAsia" w:hAnsiTheme="minorEastAsia" w:eastAsiaTheme="minorEastAsia" w:cstheme="minorEastAsia"/>
            </w:rPr>
            <w:tab/>
          </w:r>
          <w:r>
            <w:rPr>
              <w:rFonts w:hint="eastAsia" w:asciiTheme="minorEastAsia" w:hAnsiTheme="minorEastAsia" w:eastAsiaTheme="minorEastAsia" w:cstheme="minorEastAsia"/>
            </w:rPr>
            <w:fldChar w:fldCharType="begin"/>
          </w:r>
          <w:r>
            <w:rPr>
              <w:rFonts w:hint="eastAsia" w:asciiTheme="minorEastAsia" w:hAnsiTheme="minorEastAsia" w:eastAsiaTheme="minorEastAsia" w:cstheme="minorEastAsia"/>
            </w:rPr>
            <w:instrText xml:space="preserve"> PAGEREF _Toc9188 \h </w:instrText>
          </w:r>
          <w:r>
            <w:rPr>
              <w:rFonts w:hint="eastAsia" w:asciiTheme="minorEastAsia" w:hAnsiTheme="minorEastAsia" w:eastAsiaTheme="minorEastAsia" w:cstheme="minorEastAsia"/>
            </w:rPr>
            <w:fldChar w:fldCharType="separate"/>
          </w:r>
          <w:r>
            <w:rPr>
              <w:rFonts w:hint="eastAsia" w:asciiTheme="minorEastAsia" w:hAnsiTheme="minorEastAsia" w:eastAsiaTheme="minorEastAsia" w:cstheme="minorEastAsia"/>
            </w:rPr>
            <w:t>7</w:t>
          </w:r>
          <w:r>
            <w:rPr>
              <w:rFonts w:hint="eastAsia" w:asciiTheme="minorEastAsia" w:hAnsiTheme="minorEastAsia" w:eastAsiaTheme="minorEastAsia" w:cstheme="minorEastAsia"/>
            </w:rPr>
            <w:fldChar w:fldCharType="end"/>
          </w:r>
          <w:r>
            <w:rPr>
              <w:rFonts w:hint="eastAsia" w:asciiTheme="minorEastAsia" w:hAnsiTheme="minorEastAsia" w:eastAsiaTheme="minorEastAsia" w:cstheme="minorEastAsia"/>
            </w:rPr>
            <w:fldChar w:fldCharType="end"/>
          </w:r>
        </w:p>
        <w:p w14:paraId="7DBF4386">
          <w:pPr>
            <w:pStyle w:val="3"/>
            <w:keepLines w:val="0"/>
            <w:tabs>
              <w:tab w:val="right" w:leader="dot" w:pos="9071"/>
            </w:tabs>
            <w:kinsoku/>
            <w:wordWrap/>
            <w:overflowPunct/>
            <w:topLinePunct w:val="0"/>
            <w:bidi w:val="0"/>
            <w:spacing w:line="240" w:lineRule="auto"/>
            <w:ind w:left="0" w:leftChars="0" w:firstLine="210" w:firstLineChars="100"/>
            <w:rPr>
              <w:rFonts w:hint="eastAsia" w:asciiTheme="minorEastAsia" w:hAnsiTheme="minorEastAsia" w:eastAsiaTheme="minorEastAsia" w:cstheme="minorEastAsia"/>
            </w:rPr>
          </w:pPr>
          <w:r>
            <w:rPr>
              <w:rFonts w:hint="eastAsia" w:asciiTheme="minorEastAsia" w:hAnsiTheme="minorEastAsia" w:eastAsiaTheme="minorEastAsia" w:cstheme="minorEastAsia"/>
            </w:rPr>
            <w:fldChar w:fldCharType="begin"/>
          </w:r>
          <w:r>
            <w:rPr>
              <w:rFonts w:hint="eastAsia" w:asciiTheme="minorEastAsia" w:hAnsiTheme="minorEastAsia" w:eastAsiaTheme="minorEastAsia" w:cstheme="minorEastAsia"/>
            </w:rPr>
            <w:instrText xml:space="preserve"> HYPERLINK \l _Toc22897 </w:instrText>
          </w:r>
          <w:r>
            <w:rPr>
              <w:rFonts w:hint="eastAsia" w:asciiTheme="minorEastAsia" w:hAnsiTheme="minorEastAsia" w:eastAsiaTheme="minorEastAsia" w:cstheme="minorEastAsia"/>
            </w:rPr>
            <w:fldChar w:fldCharType="separate"/>
          </w:r>
          <w:r>
            <w:rPr>
              <w:rFonts w:hint="eastAsia" w:asciiTheme="minorEastAsia" w:hAnsiTheme="minorEastAsia" w:eastAsiaTheme="minorEastAsia" w:cstheme="minorEastAsia"/>
              <w:bCs w:val="0"/>
              <w:i w:val="0"/>
              <w:iCs w:val="0"/>
              <w:caps w:val="0"/>
              <w:strike w:val="0"/>
              <w:dstrike w:val="0"/>
              <w:vanish w:val="0"/>
              <w:spacing w:val="0"/>
              <w:kern w:val="0"/>
              <w:position w:val="0"/>
              <w:szCs w:val="21"/>
              <w:vertAlign w:val="baseline"/>
              <w:lang w:val="en-US" w:eastAsia="zh-CN"/>
              <w14:shadow w14:blurRad="0" w14:dist="0" w14:dir="0" w14:sx="0" w14:sy="0" w14:kx="0" w14:ky="0" w14:algn="none">
                <w14:srgbClr w14:val="000000"/>
              </w14:shadow>
            </w:rPr>
            <w:t xml:space="preserve">7.1 </w:t>
          </w:r>
          <w:r>
            <w:rPr>
              <w:rFonts w:hint="eastAsia" w:asciiTheme="minorEastAsia" w:hAnsiTheme="minorEastAsia" w:eastAsiaTheme="minorEastAsia" w:cstheme="minorEastAsia"/>
              <w:lang w:val="en-US" w:eastAsia="zh-CN"/>
            </w:rPr>
            <w:t>评价指数</w:t>
          </w:r>
          <w:r>
            <w:rPr>
              <w:rFonts w:hint="eastAsia" w:asciiTheme="minorEastAsia" w:hAnsiTheme="minorEastAsia" w:eastAsiaTheme="minorEastAsia" w:cstheme="minorEastAsia"/>
            </w:rPr>
            <w:tab/>
          </w:r>
          <w:r>
            <w:rPr>
              <w:rFonts w:hint="eastAsia" w:asciiTheme="minorEastAsia" w:hAnsiTheme="minorEastAsia" w:eastAsiaTheme="minorEastAsia" w:cstheme="minorEastAsia"/>
            </w:rPr>
            <w:fldChar w:fldCharType="begin"/>
          </w:r>
          <w:r>
            <w:rPr>
              <w:rFonts w:hint="eastAsia" w:asciiTheme="minorEastAsia" w:hAnsiTheme="minorEastAsia" w:eastAsiaTheme="minorEastAsia" w:cstheme="minorEastAsia"/>
            </w:rPr>
            <w:instrText xml:space="preserve"> PAGEREF _Toc22897 \h </w:instrText>
          </w:r>
          <w:r>
            <w:rPr>
              <w:rFonts w:hint="eastAsia" w:asciiTheme="minorEastAsia" w:hAnsiTheme="minorEastAsia" w:eastAsiaTheme="minorEastAsia" w:cstheme="minorEastAsia"/>
            </w:rPr>
            <w:fldChar w:fldCharType="separate"/>
          </w:r>
          <w:r>
            <w:rPr>
              <w:rFonts w:hint="eastAsia" w:asciiTheme="minorEastAsia" w:hAnsiTheme="minorEastAsia" w:eastAsiaTheme="minorEastAsia" w:cstheme="minorEastAsia"/>
            </w:rPr>
            <w:t>7</w:t>
          </w:r>
          <w:r>
            <w:rPr>
              <w:rFonts w:hint="eastAsia" w:asciiTheme="minorEastAsia" w:hAnsiTheme="minorEastAsia" w:eastAsiaTheme="minorEastAsia" w:cstheme="minorEastAsia"/>
            </w:rPr>
            <w:fldChar w:fldCharType="end"/>
          </w:r>
          <w:r>
            <w:rPr>
              <w:rFonts w:hint="eastAsia" w:asciiTheme="minorEastAsia" w:hAnsiTheme="minorEastAsia" w:eastAsiaTheme="minorEastAsia" w:cstheme="minorEastAsia"/>
            </w:rPr>
            <w:fldChar w:fldCharType="end"/>
          </w:r>
        </w:p>
        <w:p w14:paraId="5CF15AE8">
          <w:pPr>
            <w:pStyle w:val="3"/>
            <w:keepLines w:val="0"/>
            <w:tabs>
              <w:tab w:val="right" w:leader="dot" w:pos="9071"/>
            </w:tabs>
            <w:kinsoku/>
            <w:wordWrap/>
            <w:overflowPunct/>
            <w:topLinePunct w:val="0"/>
            <w:bidi w:val="0"/>
            <w:spacing w:line="240" w:lineRule="auto"/>
            <w:ind w:left="0" w:leftChars="0" w:firstLine="210" w:firstLineChars="100"/>
            <w:rPr>
              <w:rFonts w:hint="eastAsia" w:asciiTheme="minorEastAsia" w:hAnsiTheme="minorEastAsia" w:eastAsiaTheme="minorEastAsia" w:cstheme="minorEastAsia"/>
            </w:rPr>
          </w:pPr>
          <w:r>
            <w:rPr>
              <w:rFonts w:hint="eastAsia" w:asciiTheme="minorEastAsia" w:hAnsiTheme="minorEastAsia" w:eastAsiaTheme="minorEastAsia" w:cstheme="minorEastAsia"/>
            </w:rPr>
            <w:fldChar w:fldCharType="begin"/>
          </w:r>
          <w:r>
            <w:rPr>
              <w:rFonts w:hint="eastAsia" w:asciiTheme="minorEastAsia" w:hAnsiTheme="minorEastAsia" w:eastAsiaTheme="minorEastAsia" w:cstheme="minorEastAsia"/>
            </w:rPr>
            <w:instrText xml:space="preserve"> HYPERLINK \l _Toc3736 </w:instrText>
          </w:r>
          <w:r>
            <w:rPr>
              <w:rFonts w:hint="eastAsia" w:asciiTheme="minorEastAsia" w:hAnsiTheme="minorEastAsia" w:eastAsiaTheme="minorEastAsia" w:cstheme="minorEastAsia"/>
            </w:rPr>
            <w:fldChar w:fldCharType="separate"/>
          </w:r>
          <w:r>
            <w:rPr>
              <w:rFonts w:hint="eastAsia" w:asciiTheme="minorEastAsia" w:hAnsiTheme="minorEastAsia" w:eastAsiaTheme="minorEastAsia" w:cstheme="minorEastAsia"/>
              <w:bCs w:val="0"/>
              <w:i w:val="0"/>
              <w:iCs w:val="0"/>
              <w:caps w:val="0"/>
              <w:strike w:val="0"/>
              <w:dstrike w:val="0"/>
              <w:vanish w:val="0"/>
              <w:spacing w:val="0"/>
              <w:kern w:val="0"/>
              <w:position w:val="0"/>
              <w:szCs w:val="21"/>
              <w:vertAlign w:val="baseline"/>
              <w:lang w:val="en-US" w:eastAsia="zh-CN"/>
              <w14:shadow w14:blurRad="0" w14:dist="0" w14:dir="0" w14:sx="0" w14:sy="0" w14:kx="0" w14:ky="0" w14:algn="none">
                <w14:srgbClr w14:val="000000"/>
              </w14:shadow>
            </w:rPr>
            <w:t xml:space="preserve">7.2 </w:t>
          </w:r>
          <w:r>
            <w:rPr>
              <w:rFonts w:hint="eastAsia" w:asciiTheme="minorEastAsia" w:hAnsiTheme="minorEastAsia" w:eastAsiaTheme="minorEastAsia" w:cstheme="minorEastAsia"/>
              <w:lang w:val="en-US" w:eastAsia="zh-CN"/>
            </w:rPr>
            <w:t>评价结果</w:t>
          </w:r>
          <w:r>
            <w:rPr>
              <w:rFonts w:hint="eastAsia" w:asciiTheme="minorEastAsia" w:hAnsiTheme="minorEastAsia" w:eastAsiaTheme="minorEastAsia" w:cstheme="minorEastAsia"/>
            </w:rPr>
            <w:tab/>
          </w:r>
          <w:r>
            <w:rPr>
              <w:rFonts w:hint="eastAsia" w:asciiTheme="minorEastAsia" w:hAnsiTheme="minorEastAsia" w:eastAsiaTheme="minorEastAsia" w:cstheme="minorEastAsia"/>
            </w:rPr>
            <w:fldChar w:fldCharType="begin"/>
          </w:r>
          <w:r>
            <w:rPr>
              <w:rFonts w:hint="eastAsia" w:asciiTheme="minorEastAsia" w:hAnsiTheme="minorEastAsia" w:eastAsiaTheme="minorEastAsia" w:cstheme="minorEastAsia"/>
            </w:rPr>
            <w:instrText xml:space="preserve"> PAGEREF _Toc3736 \h </w:instrText>
          </w:r>
          <w:r>
            <w:rPr>
              <w:rFonts w:hint="eastAsia" w:asciiTheme="minorEastAsia" w:hAnsiTheme="minorEastAsia" w:eastAsiaTheme="minorEastAsia" w:cstheme="minorEastAsia"/>
            </w:rPr>
            <w:fldChar w:fldCharType="separate"/>
          </w:r>
          <w:r>
            <w:rPr>
              <w:rFonts w:hint="eastAsia" w:asciiTheme="minorEastAsia" w:hAnsiTheme="minorEastAsia" w:eastAsiaTheme="minorEastAsia" w:cstheme="minorEastAsia"/>
            </w:rPr>
            <w:t>7</w:t>
          </w:r>
          <w:r>
            <w:rPr>
              <w:rFonts w:hint="eastAsia" w:asciiTheme="minorEastAsia" w:hAnsiTheme="minorEastAsia" w:eastAsiaTheme="minorEastAsia" w:cstheme="minorEastAsia"/>
            </w:rPr>
            <w:fldChar w:fldCharType="end"/>
          </w:r>
          <w:r>
            <w:rPr>
              <w:rFonts w:hint="eastAsia" w:asciiTheme="minorEastAsia" w:hAnsiTheme="minorEastAsia" w:eastAsiaTheme="minorEastAsia" w:cstheme="minorEastAsia"/>
            </w:rPr>
            <w:fldChar w:fldCharType="end"/>
          </w:r>
        </w:p>
        <w:p w14:paraId="78DA5FB7">
          <w:pPr>
            <w:pStyle w:val="6"/>
            <w:keepLines w:val="0"/>
            <w:tabs>
              <w:tab w:val="right" w:leader="dot" w:pos="9071"/>
            </w:tabs>
            <w:kinsoku/>
            <w:wordWrap/>
            <w:overflowPunct/>
            <w:topLinePunct w:val="0"/>
            <w:bidi w:val="0"/>
            <w:spacing w:line="240" w:lineRule="auto"/>
            <w:rPr>
              <w:rFonts w:hint="eastAsia" w:asciiTheme="minorEastAsia" w:hAnsiTheme="minorEastAsia" w:eastAsiaTheme="minorEastAsia" w:cstheme="minorEastAsia"/>
            </w:rPr>
          </w:pPr>
          <w:r>
            <w:rPr>
              <w:rFonts w:hint="eastAsia" w:asciiTheme="minorEastAsia" w:hAnsiTheme="minorEastAsia" w:eastAsiaTheme="minorEastAsia" w:cstheme="minorEastAsia"/>
            </w:rPr>
            <w:fldChar w:fldCharType="begin"/>
          </w:r>
          <w:r>
            <w:rPr>
              <w:rFonts w:hint="eastAsia" w:asciiTheme="minorEastAsia" w:hAnsiTheme="minorEastAsia" w:eastAsiaTheme="minorEastAsia" w:cstheme="minorEastAsia"/>
            </w:rPr>
            <w:instrText xml:space="preserve"> HYPERLINK \l _Toc10988 </w:instrText>
          </w:r>
          <w:r>
            <w:rPr>
              <w:rFonts w:hint="eastAsia" w:asciiTheme="minorEastAsia" w:hAnsiTheme="minorEastAsia" w:eastAsiaTheme="minorEastAsia" w:cstheme="minorEastAsia"/>
            </w:rPr>
            <w:fldChar w:fldCharType="separate"/>
          </w:r>
          <w:r>
            <w:rPr>
              <w:rFonts w:hint="eastAsia" w:asciiTheme="minorEastAsia" w:hAnsiTheme="minorEastAsia" w:eastAsiaTheme="minorEastAsia" w:cstheme="minorEastAsia"/>
              <w:i w:val="0"/>
              <w:spacing w:val="0"/>
              <w:w w:val="100"/>
            </w:rPr>
            <w:t>附录A</w:t>
          </w:r>
          <w:r>
            <w:rPr>
              <w:rFonts w:hint="eastAsia" w:asciiTheme="minorEastAsia" w:hAnsiTheme="minorEastAsia" w:eastAsiaTheme="minorEastAsia" w:cstheme="minorEastAsia"/>
            </w:rPr>
            <w:fldChar w:fldCharType="end"/>
          </w:r>
          <w:r>
            <w:rPr>
              <w:rFonts w:hint="eastAsia" w:asciiTheme="minorEastAsia" w:hAnsiTheme="minorEastAsia" w:eastAsiaTheme="minorEastAsia" w:cstheme="minorEastAsia"/>
            </w:rPr>
            <w:fldChar w:fldCharType="begin"/>
          </w:r>
          <w:r>
            <w:rPr>
              <w:rFonts w:hint="eastAsia" w:asciiTheme="minorEastAsia" w:hAnsiTheme="minorEastAsia" w:eastAsiaTheme="minorEastAsia" w:cstheme="minorEastAsia"/>
            </w:rPr>
            <w:instrText xml:space="preserve"> HYPERLINK \l _Toc11016 </w:instrText>
          </w:r>
          <w:r>
            <w:rPr>
              <w:rFonts w:hint="eastAsia" w:asciiTheme="minorEastAsia" w:hAnsiTheme="minorEastAsia" w:eastAsiaTheme="minorEastAsia" w:cstheme="minorEastAsia"/>
            </w:rPr>
            <w:fldChar w:fldCharType="separate"/>
          </w:r>
          <w:r>
            <w:rPr>
              <w:rFonts w:hint="eastAsia" w:asciiTheme="minorEastAsia" w:hAnsiTheme="minorEastAsia" w:eastAsiaTheme="minorEastAsia" w:cstheme="minorEastAsia"/>
            </w:rPr>
            <w:t>（资料性）</w:t>
          </w:r>
          <w:r>
            <w:rPr>
              <w:rFonts w:hint="eastAsia" w:asciiTheme="minorEastAsia" w:hAnsiTheme="minorEastAsia" w:eastAsiaTheme="minorEastAsia" w:cstheme="minorEastAsia"/>
            </w:rPr>
            <w:fldChar w:fldCharType="end"/>
          </w:r>
          <w:r>
            <w:rPr>
              <w:rFonts w:hint="eastAsia" w:asciiTheme="minorEastAsia" w:hAnsiTheme="minorEastAsia" w:eastAsiaTheme="minorEastAsia" w:cstheme="minorEastAsia"/>
            </w:rPr>
            <w:fldChar w:fldCharType="begin"/>
          </w:r>
          <w:r>
            <w:rPr>
              <w:rFonts w:hint="eastAsia" w:asciiTheme="minorEastAsia" w:hAnsiTheme="minorEastAsia" w:eastAsiaTheme="minorEastAsia" w:cstheme="minorEastAsia"/>
            </w:rPr>
            <w:instrText xml:space="preserve"> HYPERLINK \l _Toc21015 </w:instrText>
          </w:r>
          <w:r>
            <w:rPr>
              <w:rFonts w:hint="eastAsia" w:asciiTheme="minorEastAsia" w:hAnsiTheme="minorEastAsia" w:eastAsiaTheme="minorEastAsia" w:cstheme="minorEastAsia"/>
            </w:rPr>
            <w:fldChar w:fldCharType="separate"/>
          </w:r>
          <w:r>
            <w:rPr>
              <w:rFonts w:hint="eastAsia" w:asciiTheme="minorEastAsia" w:hAnsiTheme="minorEastAsia" w:eastAsiaTheme="minorEastAsia" w:cstheme="minorEastAsia"/>
              <w:szCs w:val="21"/>
              <w:lang w:val="en-US" w:eastAsia="zh-CN"/>
            </w:rPr>
            <w:t>能源费用托管服务评价指标体系及赋值示例</w:t>
          </w:r>
          <w:r>
            <w:rPr>
              <w:rFonts w:hint="eastAsia" w:asciiTheme="minorEastAsia" w:hAnsiTheme="minorEastAsia" w:eastAsiaTheme="minorEastAsia" w:cstheme="minorEastAsia"/>
            </w:rPr>
            <w:tab/>
          </w:r>
          <w:r>
            <w:rPr>
              <w:rFonts w:hint="eastAsia" w:asciiTheme="minorEastAsia" w:hAnsiTheme="minorEastAsia" w:eastAsiaTheme="minorEastAsia" w:cstheme="minorEastAsia"/>
            </w:rPr>
            <w:fldChar w:fldCharType="begin"/>
          </w:r>
          <w:r>
            <w:rPr>
              <w:rFonts w:hint="eastAsia" w:asciiTheme="minorEastAsia" w:hAnsiTheme="minorEastAsia" w:eastAsiaTheme="minorEastAsia" w:cstheme="minorEastAsia"/>
            </w:rPr>
            <w:instrText xml:space="preserve"> PAGEREF _Toc21015 \h </w:instrText>
          </w:r>
          <w:r>
            <w:rPr>
              <w:rFonts w:hint="eastAsia" w:asciiTheme="minorEastAsia" w:hAnsiTheme="minorEastAsia" w:eastAsiaTheme="minorEastAsia" w:cstheme="minorEastAsia"/>
            </w:rPr>
            <w:fldChar w:fldCharType="separate"/>
          </w:r>
          <w:r>
            <w:rPr>
              <w:rFonts w:hint="eastAsia" w:asciiTheme="minorEastAsia" w:hAnsiTheme="minorEastAsia" w:eastAsiaTheme="minorEastAsia" w:cstheme="minorEastAsia"/>
            </w:rPr>
            <w:t>8</w:t>
          </w:r>
          <w:r>
            <w:rPr>
              <w:rFonts w:hint="eastAsia" w:asciiTheme="minorEastAsia" w:hAnsiTheme="minorEastAsia" w:eastAsiaTheme="minorEastAsia" w:cstheme="minorEastAsia"/>
            </w:rPr>
            <w:fldChar w:fldCharType="end"/>
          </w:r>
          <w:r>
            <w:rPr>
              <w:rFonts w:hint="eastAsia" w:asciiTheme="minorEastAsia" w:hAnsiTheme="minorEastAsia" w:eastAsiaTheme="minorEastAsia" w:cstheme="minorEastAsia"/>
            </w:rPr>
            <w:fldChar w:fldCharType="end"/>
          </w:r>
        </w:p>
        <w:p w14:paraId="1FDFEBED">
          <w:pPr>
            <w:pStyle w:val="16"/>
            <w:keepLines w:val="0"/>
            <w:kinsoku/>
            <w:wordWrap/>
            <w:overflowPunct/>
            <w:topLinePunct w:val="0"/>
            <w:bidi w:val="0"/>
            <w:spacing w:line="240" w:lineRule="auto"/>
            <w:ind w:firstLine="0" w:firstLineChars="0"/>
            <w:rPr>
              <w:rFonts w:hint="eastAsia" w:asciiTheme="minorEastAsia" w:hAnsiTheme="minorEastAsia" w:eastAsiaTheme="minorEastAsia" w:cstheme="minorEastAsia"/>
              <w:sz w:val="21"/>
              <w:lang w:val="en-US" w:eastAsia="zh-CN" w:bidi="ar-SA"/>
            </w:rPr>
          </w:pPr>
          <w:r>
            <w:rPr>
              <w:rFonts w:hint="eastAsia" w:asciiTheme="minorEastAsia" w:hAnsiTheme="minorEastAsia" w:eastAsiaTheme="minorEastAsia" w:cstheme="minorEastAsia"/>
            </w:rPr>
            <w:fldChar w:fldCharType="end"/>
          </w:r>
        </w:p>
      </w:sdtContent>
    </w:sdt>
    <w:p w14:paraId="505A29E6">
      <w:pPr>
        <w:pStyle w:val="16"/>
        <w:keepLines w:val="0"/>
        <w:kinsoku/>
        <w:wordWrap/>
        <w:overflowPunct/>
        <w:topLinePunct w:val="0"/>
        <w:bidi w:val="0"/>
        <w:spacing w:line="240" w:lineRule="auto"/>
        <w:ind w:firstLine="0" w:firstLineChars="0"/>
        <w:rPr>
          <w:rFonts w:hint="eastAsia" w:asciiTheme="minorEastAsia" w:hAnsiTheme="minorEastAsia" w:eastAsiaTheme="minorEastAsia" w:cstheme="minorEastAsia"/>
          <w:sz w:val="21"/>
          <w:lang w:val="en-US" w:eastAsia="zh-CN" w:bidi="ar-SA"/>
        </w:rPr>
        <w:sectPr>
          <w:pgSz w:w="11905" w:h="16838"/>
          <w:pgMar w:top="1417" w:right="1417" w:bottom="1134" w:left="1417" w:header="1417" w:footer="1134" w:gutter="0"/>
          <w:pgNumType w:fmt="upperRoman"/>
          <w:cols w:space="0" w:num="1"/>
          <w:docGrid w:linePitch="312" w:charSpace="0"/>
        </w:sectPr>
      </w:pPr>
    </w:p>
    <w:p w14:paraId="6B50018C">
      <w:pPr>
        <w:pStyle w:val="18"/>
        <w:keepLines w:val="0"/>
        <w:kinsoku/>
        <w:wordWrap/>
        <w:overflowPunct/>
        <w:topLinePunct w:val="0"/>
        <w:bidi w:val="0"/>
        <w:spacing w:line="240" w:lineRule="auto"/>
        <w:rPr>
          <w:rFonts w:hAnsi="黑体" w:cs="Arial"/>
        </w:rPr>
      </w:pPr>
      <w:bookmarkStart w:id="2" w:name="_Toc31176"/>
      <w:r>
        <w:rPr>
          <w:rFonts w:hint="eastAsia" w:hAnsi="黑体" w:cs="Arial"/>
        </w:rPr>
        <w:t>前    言</w:t>
      </w:r>
      <w:bookmarkEnd w:id="2"/>
    </w:p>
    <w:p w14:paraId="57832890">
      <w:pPr>
        <w:keepLines w:val="0"/>
        <w:kinsoku/>
        <w:wordWrap/>
        <w:overflowPunct/>
        <w:topLinePunct w:val="0"/>
        <w:bidi w:val="0"/>
        <w:snapToGrid/>
        <w:spacing w:line="240" w:lineRule="auto"/>
        <w:ind w:firstLine="420" w:firstLineChars="200"/>
        <w:textAlignment w:val="auto"/>
        <w:rPr>
          <w:rFonts w:hint="eastAsia" w:ascii="宋体" w:hAnsi="宋体" w:eastAsia="宋体" w:cs="宋体"/>
          <w:szCs w:val="21"/>
        </w:rPr>
      </w:pPr>
      <w:r>
        <w:rPr>
          <w:rFonts w:hint="eastAsia" w:ascii="宋体" w:hAnsi="宋体" w:eastAsia="宋体" w:cs="宋体"/>
          <w:szCs w:val="21"/>
        </w:rPr>
        <w:t>本文件按照GB/T 1.1—2020《标准化工作导则  第1部分：标准化文件的结构和起草规则》的规定起草。</w:t>
      </w:r>
    </w:p>
    <w:p w14:paraId="43268F1F">
      <w:pPr>
        <w:keepLines w:val="0"/>
        <w:kinsoku/>
        <w:wordWrap/>
        <w:overflowPunct/>
        <w:topLinePunct w:val="0"/>
        <w:autoSpaceDE w:val="0"/>
        <w:autoSpaceDN w:val="0"/>
        <w:bidi w:val="0"/>
        <w:adjustRightInd w:val="0"/>
        <w:snapToGrid/>
        <w:spacing w:line="240" w:lineRule="auto"/>
        <w:ind w:firstLine="420" w:firstLineChars="200"/>
        <w:textAlignment w:val="auto"/>
        <w:rPr>
          <w:rFonts w:hint="eastAsia" w:ascii="宋体" w:hAnsi="宋体" w:eastAsia="宋体" w:cs="宋体"/>
          <w:kern w:val="0"/>
        </w:rPr>
      </w:pPr>
      <w:r>
        <w:rPr>
          <w:rFonts w:hint="eastAsia" w:ascii="宋体" w:hAnsi="宋体" w:eastAsia="宋体" w:cs="宋体"/>
          <w:kern w:val="0"/>
        </w:rPr>
        <w:t>请注意本文件的某些内容可能涉及专利。本文件的发布机构不承担识别专利的责任。</w:t>
      </w:r>
    </w:p>
    <w:p w14:paraId="445A407D">
      <w:pPr>
        <w:keepLines w:val="0"/>
        <w:kinsoku/>
        <w:wordWrap/>
        <w:overflowPunct/>
        <w:topLinePunct w:val="0"/>
        <w:bidi w:val="0"/>
        <w:snapToGrid/>
        <w:spacing w:line="240" w:lineRule="auto"/>
        <w:ind w:firstLine="420" w:firstLineChars="200"/>
        <w:textAlignment w:val="auto"/>
        <w:rPr>
          <w:rFonts w:hint="eastAsia" w:ascii="宋体" w:hAnsi="宋体" w:eastAsia="宋体" w:cs="宋体"/>
        </w:rPr>
      </w:pPr>
      <w:r>
        <w:rPr>
          <w:rFonts w:hint="eastAsia" w:ascii="宋体" w:hAnsi="宋体" w:eastAsia="宋体" w:cs="宋体"/>
        </w:rPr>
        <w:t>本文件由中国节能协会提出并归口。</w:t>
      </w:r>
    </w:p>
    <w:p w14:paraId="4E4C2667">
      <w:pPr>
        <w:keepLines w:val="0"/>
        <w:kinsoku/>
        <w:wordWrap/>
        <w:overflowPunct/>
        <w:topLinePunct w:val="0"/>
        <w:bidi w:val="0"/>
        <w:snapToGrid/>
        <w:spacing w:line="240" w:lineRule="auto"/>
        <w:ind w:firstLine="420" w:firstLineChars="200"/>
        <w:textAlignment w:val="auto"/>
        <w:rPr>
          <w:rFonts w:hint="default" w:ascii="宋体" w:hAnsi="宋体" w:eastAsia="宋体" w:cs="宋体"/>
          <w:lang w:val="en-US" w:eastAsia="zh-CN"/>
        </w:rPr>
      </w:pPr>
      <w:r>
        <w:rPr>
          <w:rFonts w:hint="eastAsia" w:ascii="宋体" w:hAnsi="宋体" w:eastAsia="宋体" w:cs="宋体"/>
        </w:rPr>
        <w:t>本文件起草单位：</w:t>
      </w:r>
      <w:r>
        <w:rPr>
          <w:rFonts w:hint="eastAsia" w:ascii="宋体" w:hAnsi="宋体" w:eastAsia="宋体" w:cs="宋体"/>
          <w:lang w:val="en-US" w:eastAsia="zh-CN"/>
        </w:rPr>
        <w:t>。</w:t>
      </w:r>
    </w:p>
    <w:p w14:paraId="3DC7B26C">
      <w:pPr>
        <w:keepLines w:val="0"/>
        <w:kinsoku/>
        <w:wordWrap/>
        <w:overflowPunct/>
        <w:topLinePunct w:val="0"/>
        <w:bidi w:val="0"/>
        <w:snapToGrid/>
        <w:spacing w:line="240" w:lineRule="auto"/>
        <w:ind w:firstLine="420" w:firstLineChars="200"/>
        <w:textAlignment w:val="auto"/>
        <w:rPr>
          <w:rFonts w:hint="eastAsia" w:ascii="宋体" w:hAnsi="宋体" w:eastAsia="宋体" w:cs="宋体"/>
          <w:lang w:eastAsia="zh-CN"/>
        </w:rPr>
      </w:pPr>
      <w:r>
        <w:rPr>
          <w:rFonts w:hint="eastAsia" w:ascii="宋体" w:hAnsi="宋体" w:eastAsia="宋体" w:cs="宋体"/>
        </w:rPr>
        <w:t>本文件主要起草人：</w:t>
      </w:r>
      <w:r>
        <w:rPr>
          <w:rFonts w:hint="eastAsia" w:ascii="宋体" w:hAnsi="宋体" w:eastAsia="宋体" w:cs="宋体"/>
          <w:lang w:eastAsia="zh-CN"/>
        </w:rPr>
        <w:t>。</w:t>
      </w:r>
    </w:p>
    <w:p w14:paraId="3714D397">
      <w:pPr>
        <w:keepLines w:val="0"/>
        <w:kinsoku/>
        <w:wordWrap/>
        <w:overflowPunct/>
        <w:topLinePunct w:val="0"/>
        <w:bidi w:val="0"/>
        <w:snapToGrid/>
        <w:spacing w:line="240" w:lineRule="auto"/>
        <w:ind w:firstLine="420" w:firstLineChars="200"/>
        <w:textAlignment w:val="auto"/>
        <w:rPr>
          <w:rFonts w:hint="eastAsia" w:ascii="宋体" w:hAnsi="宋体" w:eastAsia="宋体" w:cs="宋体"/>
          <w:szCs w:val="21"/>
        </w:rPr>
        <w:sectPr>
          <w:headerReference r:id="rId8" w:type="first"/>
          <w:footerReference r:id="rId10" w:type="first"/>
          <w:headerReference r:id="rId7" w:type="default"/>
          <w:footerReference r:id="rId9" w:type="default"/>
          <w:pgSz w:w="11905" w:h="16838"/>
          <w:pgMar w:top="1417" w:right="1417" w:bottom="1134" w:left="1417" w:header="1417" w:footer="1134" w:gutter="0"/>
          <w:pgNumType w:fmt="upperRoman"/>
          <w:cols w:space="0" w:num="1"/>
          <w:titlePg/>
          <w:docGrid w:linePitch="312" w:charSpace="0"/>
        </w:sectPr>
      </w:pPr>
      <w:r>
        <w:rPr>
          <w:rFonts w:hint="eastAsia" w:ascii="宋体" w:hAnsi="宋体" w:eastAsia="宋体" w:cs="宋体"/>
          <w:szCs w:val="21"/>
        </w:rPr>
        <w:t>本文件为首次发布。</w:t>
      </w:r>
    </w:p>
    <w:p w14:paraId="494F378A">
      <w:pPr>
        <w:keepLines w:val="0"/>
        <w:kinsoku/>
        <w:wordWrap/>
        <w:overflowPunct/>
        <w:topLinePunct w:val="0"/>
        <w:bidi w:val="0"/>
        <w:snapToGrid/>
        <w:spacing w:line="240" w:lineRule="auto"/>
        <w:ind w:firstLine="420" w:firstLineChars="200"/>
        <w:textAlignment w:val="auto"/>
        <w:rPr>
          <w:rFonts w:hint="eastAsia" w:ascii="宋体" w:hAnsi="宋体" w:eastAsia="宋体" w:cs="宋体"/>
          <w:szCs w:val="21"/>
        </w:rPr>
      </w:pPr>
    </w:p>
    <w:p w14:paraId="104F0BFA">
      <w:pPr>
        <w:pStyle w:val="13"/>
        <w:keepLines w:val="0"/>
        <w:kinsoku/>
        <w:wordWrap/>
        <w:overflowPunct/>
        <w:topLinePunct w:val="0"/>
        <w:bidi w:val="0"/>
        <w:snapToGrid/>
        <w:spacing w:before="0" w:after="0" w:line="240" w:lineRule="auto"/>
        <w:ind w:firstLine="640" w:firstLineChars="200"/>
        <w:textAlignment w:val="auto"/>
        <w:rPr>
          <w:rFonts w:hint="eastAsia" w:ascii="宋体" w:hAnsi="宋体" w:eastAsia="宋体" w:cs="宋体"/>
        </w:rPr>
        <w:sectPr>
          <w:type w:val="continuous"/>
          <w:pgSz w:w="11905" w:h="16838"/>
          <w:pgMar w:top="1417" w:right="1417" w:bottom="1134" w:left="1417" w:header="1417" w:footer="1134" w:gutter="0"/>
          <w:pgNumType w:fmt="upperRoman"/>
          <w:cols w:space="0" w:num="1"/>
          <w:titlePg/>
          <w:docGrid w:linePitch="312" w:charSpace="0"/>
        </w:sectPr>
      </w:pPr>
      <w:bookmarkStart w:id="57" w:name="_GoBack"/>
      <w:bookmarkEnd w:id="57"/>
    </w:p>
    <w:sdt>
      <w:sdtPr>
        <w:tag w:val="NEW_STAND_NAME"/>
        <w:id w:val="595910757"/>
        <w:lock w:val="sdtLocked"/>
        <w:placeholder>
          <w:docPart w:val="{38b498ac-57e3-4d70-a69c-8a6c8c9c2d80}"/>
        </w:placeholder>
      </w:sdtPr>
      <w:sdtEndPr>
        <w:rPr>
          <w:rFonts w:hint="eastAsia"/>
        </w:rPr>
      </w:sdtEndPr>
      <w:sdtContent>
        <w:p w14:paraId="1D58211E">
          <w:pPr>
            <w:pStyle w:val="24"/>
            <w:keepLines w:val="0"/>
            <w:kinsoku/>
            <w:wordWrap/>
            <w:overflowPunct/>
            <w:topLinePunct w:val="0"/>
            <w:bidi w:val="0"/>
            <w:spacing w:after="687" w:afterLines="220" w:line="240" w:lineRule="auto"/>
            <w:rPr>
              <w:rFonts w:hint="eastAsia"/>
            </w:rPr>
          </w:pPr>
          <w:bookmarkStart w:id="3" w:name="NEW_STAND_NAME"/>
          <w:bookmarkStart w:id="4" w:name="_Toc23943"/>
          <w:bookmarkStart w:id="5" w:name="_Toc25746"/>
          <w:bookmarkStart w:id="6" w:name="_Toc20601"/>
          <w:bookmarkStart w:id="7" w:name="_Toc6739"/>
          <w:bookmarkStart w:id="8" w:name="_Toc9505"/>
          <w:bookmarkStart w:id="9" w:name="_Toc25514"/>
          <w:r>
            <w:rPr>
              <w:rFonts w:hint="eastAsia"/>
            </w:rPr>
            <w:t>能源费用托管服务评价技术要求</w:t>
          </w:r>
        </w:p>
      </w:sdtContent>
    </w:sdt>
    <w:bookmarkEnd w:id="3"/>
    <w:p w14:paraId="49161A2D">
      <w:pPr>
        <w:pStyle w:val="14"/>
        <w:keepLines w:val="0"/>
        <w:kinsoku/>
        <w:wordWrap/>
        <w:overflowPunct/>
        <w:topLinePunct w:val="0"/>
        <w:bidi w:val="0"/>
        <w:spacing w:before="240" w:after="240" w:line="240" w:lineRule="auto"/>
        <w:ind w:left="0"/>
        <w:rPr>
          <w:szCs w:val="21"/>
        </w:rPr>
      </w:pPr>
      <w:bookmarkStart w:id="10" w:name="_Toc28017"/>
      <w:r>
        <w:rPr>
          <w:rFonts w:hint="eastAsia"/>
          <w:szCs w:val="21"/>
        </w:rPr>
        <w:t>范围</w:t>
      </w:r>
      <w:bookmarkEnd w:id="4"/>
      <w:bookmarkEnd w:id="5"/>
      <w:bookmarkEnd w:id="6"/>
      <w:bookmarkEnd w:id="7"/>
      <w:bookmarkEnd w:id="8"/>
      <w:bookmarkEnd w:id="9"/>
      <w:bookmarkEnd w:id="10"/>
    </w:p>
    <w:p w14:paraId="050C3D39">
      <w:pPr>
        <w:pStyle w:val="16"/>
        <w:keepLines w:val="0"/>
        <w:kinsoku/>
        <w:wordWrap/>
        <w:overflowPunct/>
        <w:topLinePunct w:val="0"/>
        <w:bidi w:val="0"/>
        <w:spacing w:line="240" w:lineRule="auto"/>
        <w:ind w:firstLineChars="0"/>
        <w:rPr>
          <w:rFonts w:hint="eastAsia" w:ascii="宋体" w:hAnsi="宋体" w:eastAsia="宋体" w:cs="宋体"/>
          <w:szCs w:val="21"/>
          <w:lang w:val="en-US" w:eastAsia="zh-CN"/>
        </w:rPr>
      </w:pPr>
      <w:r>
        <w:rPr>
          <w:rFonts w:hint="eastAsia" w:ascii="宋体" w:hAnsi="宋体" w:eastAsia="宋体" w:cs="宋体"/>
          <w:szCs w:val="21"/>
          <w:lang w:val="en-US" w:eastAsia="zh-CN"/>
        </w:rPr>
        <w:t>本文件规定了能源费用托管服务的评价原则、评价内容和评价实施。</w:t>
      </w:r>
    </w:p>
    <w:p w14:paraId="70397EF7">
      <w:pPr>
        <w:pStyle w:val="16"/>
        <w:keepLines w:val="0"/>
        <w:kinsoku/>
        <w:wordWrap/>
        <w:overflowPunct/>
        <w:topLinePunct w:val="0"/>
        <w:bidi w:val="0"/>
        <w:spacing w:line="240" w:lineRule="auto"/>
        <w:ind w:firstLineChars="0"/>
        <w:rPr>
          <w:rFonts w:hint="eastAsia" w:ascii="宋体" w:hAnsi="宋体" w:eastAsia="宋体" w:cs="宋体"/>
          <w:szCs w:val="21"/>
          <w:lang w:val="en-US" w:eastAsia="zh-CN"/>
        </w:rPr>
      </w:pPr>
      <w:r>
        <w:rPr>
          <w:rFonts w:hint="eastAsia" w:ascii="宋体" w:hAnsi="宋体" w:eastAsia="宋体" w:cs="宋体"/>
          <w:szCs w:val="21"/>
          <w:lang w:val="en-US" w:eastAsia="zh-CN"/>
        </w:rPr>
        <w:t>本文件适用于节能服务公司所提供</w:t>
      </w:r>
      <w:r>
        <w:rPr>
          <w:rFonts w:hint="eastAsia" w:hAnsi="宋体" w:cs="宋体"/>
          <w:szCs w:val="21"/>
          <w:lang w:val="en-US" w:eastAsia="zh-CN"/>
        </w:rPr>
        <w:t>的</w:t>
      </w:r>
      <w:r>
        <w:rPr>
          <w:rFonts w:hint="eastAsia" w:ascii="宋体" w:hAnsi="宋体" w:eastAsia="宋体" w:cs="宋体"/>
          <w:szCs w:val="21"/>
          <w:lang w:val="en-US" w:eastAsia="zh-CN"/>
        </w:rPr>
        <w:t>建筑</w:t>
      </w:r>
      <w:r>
        <w:rPr>
          <w:rFonts w:hint="eastAsia" w:hAnsi="宋体" w:cs="宋体"/>
          <w:szCs w:val="21"/>
          <w:lang w:val="en-US" w:eastAsia="zh-CN"/>
        </w:rPr>
        <w:t>、公共机构</w:t>
      </w:r>
      <w:r>
        <w:rPr>
          <w:rFonts w:hint="eastAsia" w:ascii="宋体" w:hAnsi="宋体" w:eastAsia="宋体" w:cs="宋体"/>
          <w:szCs w:val="21"/>
          <w:lang w:val="en-US" w:eastAsia="zh-CN"/>
        </w:rPr>
        <w:t>领域能源费用托管服务质量的评价，</w:t>
      </w:r>
      <w:r>
        <w:rPr>
          <w:rFonts w:hint="eastAsia" w:hAnsi="宋体" w:cs="宋体"/>
          <w:szCs w:val="21"/>
          <w:lang w:val="en-US" w:eastAsia="zh-CN"/>
        </w:rPr>
        <w:t>工业和市政等</w:t>
      </w:r>
      <w:r>
        <w:rPr>
          <w:rFonts w:hint="eastAsia" w:ascii="宋体" w:hAnsi="宋体" w:eastAsia="宋体" w:cs="宋体"/>
          <w:szCs w:val="21"/>
          <w:lang w:val="en-US" w:eastAsia="zh-CN"/>
        </w:rPr>
        <w:t>其他领域</w:t>
      </w:r>
      <w:r>
        <w:rPr>
          <w:rFonts w:hint="eastAsia" w:hAnsi="宋体" w:cs="宋体"/>
          <w:szCs w:val="21"/>
          <w:lang w:val="en-US" w:eastAsia="zh-CN"/>
        </w:rPr>
        <w:t>的</w:t>
      </w:r>
      <w:r>
        <w:rPr>
          <w:rFonts w:hint="eastAsia" w:ascii="宋体" w:hAnsi="宋体" w:eastAsia="宋体" w:cs="宋体"/>
          <w:szCs w:val="21"/>
          <w:lang w:val="en-US" w:eastAsia="zh-CN"/>
        </w:rPr>
        <w:t>能源费用托管服务评价可参照使用。</w:t>
      </w:r>
    </w:p>
    <w:p w14:paraId="7925D115">
      <w:pPr>
        <w:pStyle w:val="14"/>
        <w:keepLines w:val="0"/>
        <w:kinsoku/>
        <w:wordWrap/>
        <w:overflowPunct/>
        <w:topLinePunct w:val="0"/>
        <w:bidi w:val="0"/>
        <w:spacing w:before="240" w:after="240" w:line="240" w:lineRule="auto"/>
        <w:ind w:left="0"/>
        <w:rPr>
          <w:szCs w:val="21"/>
        </w:rPr>
      </w:pPr>
      <w:bookmarkStart w:id="11" w:name="bookmark3"/>
      <w:bookmarkEnd w:id="11"/>
      <w:bookmarkStart w:id="12" w:name="_Toc207832809"/>
      <w:bookmarkStart w:id="13" w:name="_Toc22146"/>
      <w:bookmarkStart w:id="14" w:name="_Toc30614"/>
      <w:r>
        <w:rPr>
          <w:rFonts w:hint="eastAsia"/>
          <w:szCs w:val="21"/>
        </w:rPr>
        <w:t>规范性引用文件</w:t>
      </w:r>
      <w:bookmarkEnd w:id="12"/>
      <w:bookmarkEnd w:id="13"/>
      <w:bookmarkEnd w:id="14"/>
    </w:p>
    <w:p w14:paraId="0D8F3608">
      <w:pPr>
        <w:pStyle w:val="15"/>
        <w:keepLines w:val="0"/>
        <w:kinsoku/>
        <w:wordWrap/>
        <w:overflowPunct/>
        <w:topLinePunct w:val="0"/>
        <w:bidi w:val="0"/>
        <w:spacing w:line="240" w:lineRule="auto"/>
        <w:ind w:firstLine="420"/>
        <w:rPr>
          <w:rFonts w:hint="eastAsia"/>
        </w:rPr>
      </w:pPr>
      <w:bookmarkStart w:id="15" w:name="bookmark5"/>
      <w:bookmarkEnd w:id="15"/>
      <w:bookmarkStart w:id="16" w:name="bookmark4"/>
      <w:bookmarkEnd w:id="16"/>
      <w:bookmarkStart w:id="17" w:name="bookmark6"/>
      <w:bookmarkEnd w:id="17"/>
      <w:bookmarkStart w:id="18" w:name="_Toc207832810"/>
      <w:bookmarkStart w:id="19" w:name="_Toc12821"/>
      <w:bookmarkStart w:id="20" w:name="_Toc207832811"/>
      <w:bookmarkStart w:id="21" w:name="_Toc27014"/>
      <w:r>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p w14:paraId="2F9EF039">
      <w:pPr>
        <w:pStyle w:val="15"/>
        <w:keepLines w:val="0"/>
        <w:kinsoku/>
        <w:wordWrap/>
        <w:overflowPunct/>
        <w:topLinePunct w:val="0"/>
        <w:bidi w:val="0"/>
        <w:spacing w:line="240" w:lineRule="auto"/>
        <w:ind w:firstLine="420"/>
        <w:rPr>
          <w:rFonts w:hint="default"/>
          <w:lang w:val="en-US" w:eastAsia="zh-CN"/>
        </w:rPr>
      </w:pPr>
      <w:r>
        <w:rPr>
          <w:rFonts w:hint="eastAsia"/>
          <w:lang w:val="en-US" w:eastAsia="zh-CN"/>
        </w:rPr>
        <w:t>GB/T 23331         能源管理体系 要求及使用指南</w:t>
      </w:r>
    </w:p>
    <w:p w14:paraId="354E4CAF">
      <w:pPr>
        <w:pStyle w:val="15"/>
        <w:keepLines w:val="0"/>
        <w:kinsoku/>
        <w:wordWrap/>
        <w:overflowPunct/>
        <w:topLinePunct w:val="0"/>
        <w:bidi w:val="0"/>
        <w:spacing w:line="240" w:lineRule="auto"/>
        <w:ind w:firstLine="420"/>
        <w:rPr>
          <w:rFonts w:hint="eastAsia"/>
          <w:lang w:val="en-US" w:eastAsia="zh-CN"/>
        </w:rPr>
      </w:pPr>
      <w:r>
        <w:rPr>
          <w:rFonts w:hint="eastAsia"/>
          <w:lang w:val="en-US" w:eastAsia="zh-CN"/>
        </w:rPr>
        <w:t>GB/T 24915         合同能源管理技术通则</w:t>
      </w:r>
    </w:p>
    <w:p w14:paraId="48C9DBB2">
      <w:pPr>
        <w:pStyle w:val="15"/>
        <w:keepLines w:val="0"/>
        <w:kinsoku/>
        <w:wordWrap/>
        <w:overflowPunct/>
        <w:topLinePunct w:val="0"/>
        <w:bidi w:val="0"/>
        <w:spacing w:line="240" w:lineRule="auto"/>
        <w:ind w:firstLine="420"/>
        <w:rPr>
          <w:rFonts w:hint="eastAsia"/>
          <w:color w:val="auto"/>
          <w:lang w:val="en-US" w:eastAsia="zh-CN"/>
        </w:rPr>
      </w:pPr>
      <w:r>
        <w:rPr>
          <w:rFonts w:hint="eastAsia"/>
          <w:color w:val="auto"/>
          <w:lang w:val="en-US" w:eastAsia="zh-CN"/>
        </w:rPr>
        <w:t>GB/T 28750         节能量测量和验证技术通则</w:t>
      </w:r>
    </w:p>
    <w:p w14:paraId="3E1288EF">
      <w:pPr>
        <w:pStyle w:val="15"/>
        <w:keepLines w:val="0"/>
        <w:kinsoku/>
        <w:wordWrap/>
        <w:overflowPunct/>
        <w:topLinePunct w:val="0"/>
        <w:bidi w:val="0"/>
        <w:spacing w:line="240" w:lineRule="auto"/>
        <w:ind w:firstLine="420"/>
        <w:rPr>
          <w:rFonts w:hint="eastAsia"/>
          <w:lang w:val="en-US" w:eastAsia="zh-CN"/>
        </w:rPr>
      </w:pPr>
      <w:r>
        <w:rPr>
          <w:rFonts w:hint="eastAsia"/>
          <w:lang w:val="en-US" w:eastAsia="zh-CN"/>
        </w:rPr>
        <w:t>GB/T 40010         合同能源管理服务评价技术导则</w:t>
      </w:r>
    </w:p>
    <w:p w14:paraId="7EAD2B2B">
      <w:pPr>
        <w:pStyle w:val="15"/>
        <w:keepLines w:val="0"/>
        <w:kinsoku/>
        <w:wordWrap/>
        <w:overflowPunct/>
        <w:topLinePunct w:val="0"/>
        <w:bidi w:val="0"/>
        <w:spacing w:line="240" w:lineRule="auto"/>
        <w:ind w:firstLine="420"/>
        <w:rPr>
          <w:rFonts w:hint="default"/>
          <w:lang w:val="en-US" w:eastAsia="zh-CN"/>
        </w:rPr>
      </w:pPr>
      <w:r>
        <w:rPr>
          <w:rFonts w:hint="eastAsia"/>
          <w:lang w:val="en-US" w:eastAsia="zh-CN"/>
        </w:rPr>
        <w:t>RB/T 302—2016     合同能源管理服务认证要求</w:t>
      </w:r>
    </w:p>
    <w:p w14:paraId="53C78BDF">
      <w:pPr>
        <w:pStyle w:val="15"/>
        <w:keepLines w:val="0"/>
        <w:kinsoku/>
        <w:wordWrap/>
        <w:overflowPunct/>
        <w:topLinePunct w:val="0"/>
        <w:bidi w:val="0"/>
        <w:spacing w:line="240" w:lineRule="auto"/>
        <w:ind w:firstLine="420"/>
        <w:rPr>
          <w:rFonts w:hint="default"/>
          <w:lang w:val="en-US"/>
        </w:rPr>
      </w:pPr>
      <w:r>
        <w:rPr>
          <w:rFonts w:hint="eastAsia"/>
          <w:lang w:val="en-US" w:eastAsia="zh-CN"/>
        </w:rPr>
        <w:t>JS/T 301—</w:t>
      </w:r>
      <w:r>
        <w:rPr>
          <w:rFonts w:hint="default"/>
          <w:lang w:val="en-US" w:eastAsia="zh-CN"/>
        </w:rPr>
        <w:t>2024</w:t>
      </w:r>
      <w:r>
        <w:rPr>
          <w:rFonts w:hint="eastAsia"/>
          <w:lang w:val="en-US" w:eastAsia="zh-CN"/>
        </w:rPr>
        <w:t xml:space="preserve">     公共机构能源费用托管实施规程</w:t>
      </w:r>
    </w:p>
    <w:p w14:paraId="0E2190DB">
      <w:pPr>
        <w:pStyle w:val="15"/>
        <w:keepLines w:val="0"/>
        <w:kinsoku/>
        <w:wordWrap/>
        <w:overflowPunct/>
        <w:topLinePunct w:val="0"/>
        <w:bidi w:val="0"/>
        <w:spacing w:line="240" w:lineRule="auto"/>
        <w:ind w:firstLine="420"/>
        <w:rPr>
          <w:rFonts w:hint="default" w:eastAsia="宋体"/>
          <w:lang w:val="en-US" w:eastAsia="zh-CN"/>
        </w:rPr>
      </w:pPr>
      <w:r>
        <w:rPr>
          <w:rFonts w:hint="eastAsia"/>
        </w:rPr>
        <w:t>T/CECA-G0223—2023</w:t>
      </w:r>
      <w:r>
        <w:rPr>
          <w:rFonts w:hint="eastAsia"/>
          <w:lang w:val="en-US" w:eastAsia="zh-CN"/>
        </w:rPr>
        <w:t xml:space="preserve"> 公共建筑能源费用托管型合同能源管理服务规范</w:t>
      </w:r>
    </w:p>
    <w:p w14:paraId="05BC5AEF">
      <w:pPr>
        <w:pStyle w:val="14"/>
        <w:keepLines w:val="0"/>
        <w:kinsoku/>
        <w:wordWrap/>
        <w:overflowPunct/>
        <w:topLinePunct w:val="0"/>
        <w:bidi w:val="0"/>
        <w:spacing w:before="240" w:after="240" w:line="240" w:lineRule="auto"/>
        <w:ind w:left="0"/>
        <w:rPr>
          <w:szCs w:val="21"/>
        </w:rPr>
      </w:pPr>
      <w:bookmarkStart w:id="22" w:name="_Toc14493"/>
      <w:r>
        <w:rPr>
          <w:rFonts w:hint="eastAsia"/>
          <w:szCs w:val="21"/>
        </w:rPr>
        <w:t>术语和定义</w:t>
      </w:r>
      <w:bookmarkEnd w:id="18"/>
      <w:bookmarkEnd w:id="19"/>
      <w:bookmarkEnd w:id="22"/>
    </w:p>
    <w:sdt>
      <w:sdtPr>
        <w:rPr>
          <w:rFonts w:hint="eastAsia" w:ascii="宋体" w:hAnsi="Times New Roman" w:eastAsia="宋体" w:cs="Times New Roman"/>
          <w:lang w:val="en-US" w:eastAsia="zh-CN"/>
        </w:rPr>
        <w:id w:val="147481299"/>
        <w:placeholder>
          <w:docPart w:val="{28f67b24-bf02-4eb0-985a-56460364374e}"/>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EndPr>
        <w:rPr>
          <w:rFonts w:hint="eastAsia" w:ascii="宋体" w:hAnsi="Times New Roman" w:eastAsia="宋体" w:cs="Times New Roman"/>
          <w:lang w:val="en-US" w:eastAsia="zh-CN"/>
        </w:rPr>
      </w:sdtEndPr>
      <w:sdtContent>
        <w:p w14:paraId="0AD03B62">
          <w:pPr>
            <w:pStyle w:val="15"/>
            <w:keepLines w:val="0"/>
            <w:kinsoku/>
            <w:wordWrap/>
            <w:overflowPunct/>
            <w:topLinePunct w:val="0"/>
            <w:bidi w:val="0"/>
            <w:spacing w:line="240" w:lineRule="auto"/>
            <w:ind w:firstLine="420"/>
            <w:rPr>
              <w:rFonts w:hint="eastAsia" w:ascii="宋体" w:hAnsi="Times New Roman" w:eastAsia="宋体" w:cs="Times New Roman"/>
              <w:lang w:val="en-US" w:eastAsia="zh-CN"/>
            </w:rPr>
          </w:pPr>
          <w:bookmarkStart w:id="23" w:name="_Toc26986532"/>
          <w:bookmarkEnd w:id="23"/>
          <w:r>
            <w:rPr>
              <w:rFonts w:hint="eastAsia" w:asciiTheme="minorEastAsia" w:hAnsiTheme="minorEastAsia" w:eastAsiaTheme="minorEastAsia" w:cstheme="minorEastAsia"/>
              <w:color w:val="000000"/>
              <w:sz w:val="21"/>
              <w:szCs w:val="21"/>
              <w:highlight w:val="none"/>
              <w:lang w:val="en-US" w:eastAsia="zh-CN" w:bidi="ar-SA"/>
            </w:rPr>
            <w:t>GB/T 24915界定的术语和定义适用于本文件。为了便于使用，以下重复列出了GB/T 24915中的</w:t>
          </w:r>
          <w:r>
            <w:rPr>
              <w:rFonts w:hint="eastAsia" w:ascii="Times New Roman" w:hAnsi="Times New Roman" w:eastAsia="宋体" w:cs="Times New Roman"/>
              <w:color w:val="000000"/>
              <w:sz w:val="21"/>
              <w:szCs w:val="21"/>
              <w:highlight w:val="none"/>
              <w:lang w:val="en-US" w:eastAsia="zh-CN" w:bidi="ar-SA"/>
            </w:rPr>
            <w:t>某些术语和定义。</w:t>
          </w:r>
        </w:p>
      </w:sdtContent>
    </w:sdt>
    <w:p w14:paraId="4BACEF5B">
      <w:pPr>
        <w:pStyle w:val="17"/>
        <w:keepNext w:val="0"/>
        <w:keepLines w:val="0"/>
        <w:pageBreakBefore w:val="0"/>
        <w:widowControl/>
        <w:kinsoku/>
        <w:wordWrap/>
        <w:overflowPunct/>
        <w:topLinePunct w:val="0"/>
        <w:autoSpaceDE/>
        <w:autoSpaceDN/>
        <w:bidi w:val="0"/>
        <w:adjustRightInd/>
        <w:snapToGrid/>
        <w:spacing w:line="240" w:lineRule="auto"/>
        <w:ind w:left="0" w:leftChars="0" w:firstLine="0" w:firstLineChars="0"/>
        <w:textAlignment w:val="auto"/>
        <w:rPr>
          <w:rFonts w:hint="eastAsia"/>
          <w:lang w:val="en-US" w:eastAsia="zh-CN"/>
        </w:rPr>
      </w:pPr>
      <w:bookmarkStart w:id="24" w:name="_Toc15893"/>
      <w:bookmarkEnd w:id="24"/>
    </w:p>
    <w:p w14:paraId="75D22EA8">
      <w:pPr>
        <w:pStyle w:val="25"/>
        <w:keepNext w:val="0"/>
        <w:keepLines w:val="0"/>
        <w:pageBreakBefore w:val="0"/>
        <w:widowControl/>
        <w:numPr>
          <w:ilvl w:val="2"/>
          <w:numId w:val="0"/>
        </w:numPr>
        <w:kinsoku/>
        <w:wordWrap/>
        <w:overflowPunct/>
        <w:topLinePunct w:val="0"/>
        <w:autoSpaceDE/>
        <w:autoSpaceDN/>
        <w:bidi w:val="0"/>
        <w:adjustRightInd/>
        <w:snapToGrid/>
        <w:spacing w:before="157" w:beforeLines="50" w:after="157" w:afterLines="50" w:line="240" w:lineRule="auto"/>
        <w:ind w:leftChars="-200" w:firstLine="840" w:firstLineChars="400"/>
        <w:textAlignment w:val="auto"/>
        <w:rPr>
          <w:rFonts w:hint="default" w:ascii="Times New Roman" w:hAnsi="Times New Roman" w:cs="Times New Roman"/>
          <w:lang w:val="en-US" w:eastAsia="zh-CN"/>
        </w:rPr>
      </w:pPr>
      <w:r>
        <w:rPr>
          <w:rFonts w:hint="eastAsia"/>
          <w:lang w:val="en-US" w:eastAsia="zh-CN"/>
        </w:rPr>
        <w:t xml:space="preserve">节能服务公司  </w:t>
      </w:r>
      <w:r>
        <w:rPr>
          <w:rFonts w:hint="default" w:ascii="Times New Roman" w:hAnsi="Times New Roman" w:cs="Times New Roman"/>
          <w:lang w:val="en-US" w:eastAsia="zh-CN"/>
        </w:rPr>
        <w:t xml:space="preserve">energy service company；ESCO </w:t>
      </w:r>
    </w:p>
    <w:p w14:paraId="31A78ADD">
      <w:pPr>
        <w:pStyle w:val="15"/>
        <w:keepLines w:val="0"/>
        <w:kinsoku/>
        <w:wordWrap/>
        <w:overflowPunct/>
        <w:topLinePunct w:val="0"/>
        <w:bidi w:val="0"/>
        <w:spacing w:line="240" w:lineRule="auto"/>
        <w:ind w:firstLine="420"/>
        <w:rPr>
          <w:rFonts w:hint="eastAsia" w:ascii="宋体" w:hAnsi="Times New Roman" w:eastAsia="宋体" w:cs="Times New Roman"/>
        </w:rPr>
      </w:pPr>
      <w:r>
        <w:rPr>
          <w:rFonts w:hint="eastAsia" w:ascii="宋体" w:hAnsi="Times New Roman" w:eastAsia="宋体" w:cs="Times New Roman"/>
          <w:lang w:val="en-US" w:eastAsia="zh-CN"/>
        </w:rPr>
        <w:t xml:space="preserve">提供用能状况诊断、节能项目设计、融资、改造（施工、设备安装、调试）、运行管理等服务的专业化公司。 </w:t>
      </w:r>
    </w:p>
    <w:p w14:paraId="5D7C2BCD">
      <w:pPr>
        <w:pStyle w:val="15"/>
        <w:keepLines w:val="0"/>
        <w:kinsoku/>
        <w:wordWrap/>
        <w:overflowPunct/>
        <w:topLinePunct w:val="0"/>
        <w:bidi w:val="0"/>
        <w:spacing w:line="240" w:lineRule="auto"/>
        <w:ind w:left="0" w:leftChars="0" w:firstLine="420" w:firstLineChars="0"/>
      </w:pPr>
      <w:r>
        <w:rPr>
          <w:rFonts w:hint="default" w:ascii="宋体" w:hAnsi="Times New Roman" w:eastAsia="宋体" w:cs="Times New Roman"/>
          <w:lang w:val="en-US" w:eastAsia="zh-CN"/>
        </w:rPr>
        <w:t>[</w:t>
      </w:r>
      <w:r>
        <w:rPr>
          <w:rFonts w:hint="eastAsia" w:ascii="宋体" w:hAnsi="Times New Roman" w:eastAsia="宋体" w:cs="Times New Roman"/>
          <w:lang w:val="en-US" w:eastAsia="zh-CN"/>
        </w:rPr>
        <w:t>来源：</w:t>
      </w:r>
      <w:r>
        <w:rPr>
          <w:rFonts w:hint="default" w:ascii="宋体" w:hAnsi="Times New Roman" w:eastAsia="宋体" w:cs="Times New Roman"/>
          <w:lang w:val="en-US" w:eastAsia="zh-CN"/>
        </w:rPr>
        <w:t>GB/T 24915—2020</w:t>
      </w:r>
      <w:r>
        <w:rPr>
          <w:rFonts w:hint="eastAsia" w:ascii="宋体" w:hAnsi="Times New Roman" w:eastAsia="宋体" w:cs="Times New Roman"/>
          <w:lang w:val="en-US" w:eastAsia="zh-CN"/>
        </w:rPr>
        <w:t>，3.3</w:t>
      </w:r>
      <w:r>
        <w:rPr>
          <w:rFonts w:hint="default" w:ascii="宋体" w:hAnsi="Times New Roman" w:eastAsia="宋体" w:cs="Times New Roman"/>
          <w:lang w:val="en-US" w:eastAsia="zh-CN"/>
        </w:rPr>
        <w:t>]</w:t>
      </w:r>
    </w:p>
    <w:p w14:paraId="2FEC5AF4">
      <w:pPr>
        <w:pStyle w:val="17"/>
        <w:keepLines w:val="0"/>
        <w:kinsoku/>
        <w:wordWrap/>
        <w:overflowPunct/>
        <w:topLinePunct w:val="0"/>
        <w:bidi w:val="0"/>
        <w:spacing w:line="240" w:lineRule="auto"/>
        <w:ind w:left="0" w:leftChars="0" w:firstLine="0" w:firstLineChars="0"/>
        <w:rPr>
          <w:rFonts w:hint="eastAsia"/>
          <w:lang w:val="en-US" w:eastAsia="zh-CN"/>
        </w:rPr>
      </w:pPr>
      <w:bookmarkStart w:id="25" w:name="_Toc24389"/>
      <w:bookmarkEnd w:id="25"/>
    </w:p>
    <w:p w14:paraId="2E47D4FB">
      <w:pPr>
        <w:pStyle w:val="25"/>
        <w:keepNext w:val="0"/>
        <w:keepLines w:val="0"/>
        <w:pageBreakBefore w:val="0"/>
        <w:widowControl/>
        <w:numPr>
          <w:ilvl w:val="2"/>
          <w:numId w:val="0"/>
        </w:numPr>
        <w:kinsoku/>
        <w:wordWrap/>
        <w:overflowPunct/>
        <w:topLinePunct w:val="0"/>
        <w:autoSpaceDE/>
        <w:autoSpaceDN/>
        <w:bidi w:val="0"/>
        <w:adjustRightInd/>
        <w:snapToGrid/>
        <w:spacing w:before="157" w:beforeLines="50" w:after="157" w:afterLines="50" w:line="240" w:lineRule="auto"/>
        <w:ind w:leftChars="-200" w:firstLine="840" w:firstLineChars="400"/>
        <w:textAlignment w:val="auto"/>
        <w:rPr>
          <w:rFonts w:hint="eastAsia"/>
          <w:lang w:val="en-US" w:eastAsia="zh-CN"/>
        </w:rPr>
      </w:pPr>
      <w:r>
        <w:rPr>
          <w:rFonts w:hint="eastAsia"/>
          <w:lang w:val="en-US" w:eastAsia="zh-CN"/>
        </w:rPr>
        <w:t xml:space="preserve">合同能源管理  </w:t>
      </w:r>
      <w:r>
        <w:rPr>
          <w:rFonts w:hint="eastAsia" w:ascii="Times New Roman" w:hAnsi="Times New Roman" w:cs="Times New Roman"/>
          <w:lang w:val="en-US" w:eastAsia="zh-CN"/>
        </w:rPr>
        <w:t>energy performance contracting；EPC</w:t>
      </w:r>
    </w:p>
    <w:p w14:paraId="53D15FF0">
      <w:pPr>
        <w:pStyle w:val="15"/>
        <w:keepLines w:val="0"/>
        <w:kinsoku/>
        <w:wordWrap/>
        <w:overflowPunct/>
        <w:topLinePunct w:val="0"/>
        <w:bidi w:val="0"/>
        <w:spacing w:line="240" w:lineRule="auto"/>
        <w:ind w:firstLine="420"/>
        <w:rPr>
          <w:rFonts w:hint="eastAsia" w:ascii="宋体" w:hAnsi="Times New Roman" w:eastAsia="宋体" w:cs="Times New Roman"/>
          <w:lang w:val="en-US" w:eastAsia="zh-CN"/>
        </w:rPr>
      </w:pPr>
      <w:r>
        <w:rPr>
          <w:rFonts w:hint="eastAsia" w:ascii="宋体" w:hAnsi="Times New Roman" w:eastAsia="宋体" w:cs="Times New Roman"/>
          <w:lang w:val="en-US" w:eastAsia="zh-CN"/>
        </w:rPr>
        <w:t>节能服务公司与用能单位以契约形式约定节能项目的节能目标,节能服务公司为实现节能目标向用能单位提供必要的服务,用能单位以节能效益、节能服务费或能源托管费支付节能服务公司的投入及其合理利润的节能服务机制。</w:t>
      </w:r>
    </w:p>
    <w:p w14:paraId="10886545">
      <w:pPr>
        <w:pStyle w:val="15"/>
        <w:keepLines w:val="0"/>
        <w:kinsoku/>
        <w:wordWrap/>
        <w:overflowPunct/>
        <w:topLinePunct w:val="0"/>
        <w:bidi w:val="0"/>
        <w:spacing w:line="240" w:lineRule="auto"/>
        <w:ind w:firstLine="420"/>
        <w:rPr>
          <w:rFonts w:hint="default" w:ascii="宋体" w:hAnsi="Times New Roman" w:eastAsia="宋体" w:cs="Times New Roman"/>
          <w:lang w:val="en-US" w:eastAsia="zh-CN"/>
        </w:rPr>
      </w:pPr>
      <w:r>
        <w:rPr>
          <w:rFonts w:hint="default" w:ascii="宋体" w:hAnsi="Times New Roman" w:eastAsia="宋体" w:cs="Times New Roman"/>
          <w:lang w:val="en-US" w:eastAsia="zh-CN"/>
        </w:rPr>
        <w:t>[</w:t>
      </w:r>
      <w:r>
        <w:rPr>
          <w:rFonts w:hint="eastAsia" w:ascii="宋体" w:hAnsi="Times New Roman" w:eastAsia="宋体" w:cs="Times New Roman"/>
          <w:lang w:val="en-US" w:eastAsia="zh-CN"/>
        </w:rPr>
        <w:t>来源：</w:t>
      </w:r>
      <w:r>
        <w:rPr>
          <w:rFonts w:hint="default" w:ascii="宋体" w:hAnsi="Times New Roman" w:eastAsia="宋体" w:cs="Times New Roman"/>
          <w:lang w:val="en-US" w:eastAsia="zh-CN"/>
        </w:rPr>
        <w:t>GB/T 24915—2020</w:t>
      </w:r>
      <w:r>
        <w:rPr>
          <w:rFonts w:hint="eastAsia" w:ascii="宋体" w:hAnsi="Times New Roman" w:eastAsia="宋体" w:cs="Times New Roman"/>
          <w:lang w:val="en-US" w:eastAsia="zh-CN"/>
        </w:rPr>
        <w:t>，3.1</w:t>
      </w:r>
      <w:r>
        <w:rPr>
          <w:rFonts w:hint="default" w:ascii="宋体" w:hAnsi="Times New Roman" w:eastAsia="宋体" w:cs="Times New Roman"/>
          <w:lang w:val="en-US" w:eastAsia="zh-CN"/>
        </w:rPr>
        <w:t>]</w:t>
      </w:r>
    </w:p>
    <w:p w14:paraId="04A588B2">
      <w:pPr>
        <w:pStyle w:val="17"/>
        <w:keepLines w:val="0"/>
        <w:kinsoku/>
        <w:wordWrap/>
        <w:overflowPunct/>
        <w:topLinePunct w:val="0"/>
        <w:bidi w:val="0"/>
        <w:spacing w:line="240" w:lineRule="auto"/>
        <w:ind w:left="0" w:leftChars="0" w:firstLine="0" w:firstLineChars="0"/>
        <w:rPr>
          <w:rFonts w:hint="eastAsia"/>
          <w:lang w:val="en-US" w:eastAsia="zh-CN"/>
        </w:rPr>
      </w:pPr>
    </w:p>
    <w:p w14:paraId="4FFCF3E4">
      <w:pPr>
        <w:pStyle w:val="25"/>
        <w:keepNext w:val="0"/>
        <w:keepLines w:val="0"/>
        <w:pageBreakBefore w:val="0"/>
        <w:widowControl/>
        <w:numPr>
          <w:ilvl w:val="2"/>
          <w:numId w:val="0"/>
        </w:numPr>
        <w:kinsoku/>
        <w:wordWrap/>
        <w:overflowPunct/>
        <w:topLinePunct w:val="0"/>
        <w:autoSpaceDE/>
        <w:autoSpaceDN/>
        <w:bidi w:val="0"/>
        <w:adjustRightInd/>
        <w:snapToGrid/>
        <w:spacing w:before="157" w:beforeLines="50" w:after="157" w:afterLines="50" w:line="240" w:lineRule="auto"/>
        <w:ind w:leftChars="-200" w:firstLine="840" w:firstLineChars="400"/>
        <w:textAlignment w:val="auto"/>
        <w:rPr>
          <w:rFonts w:hint="eastAsia"/>
          <w:lang w:val="en-US" w:eastAsia="zh-CN"/>
        </w:rPr>
      </w:pPr>
      <w:r>
        <w:rPr>
          <w:rFonts w:hint="eastAsia"/>
          <w:lang w:val="en-US" w:eastAsia="zh-CN"/>
        </w:rPr>
        <w:t>能源费用托管</w:t>
      </w:r>
      <w:r>
        <w:rPr>
          <w:rFonts w:hint="eastAsia" w:ascii="Times New Roman" w:hAnsi="Times New Roman" w:cs="Times New Roman"/>
          <w:lang w:val="en-US" w:eastAsia="zh-CN"/>
        </w:rPr>
        <w:t xml:space="preserve">  </w:t>
      </w:r>
      <w:r>
        <w:rPr>
          <w:rFonts w:hint="default" w:ascii="Times New Roman" w:hAnsi="Times New Roman" w:cs="Times New Roman"/>
          <w:lang w:val="en-US" w:eastAsia="zh-CN"/>
        </w:rPr>
        <w:t>energy</w:t>
      </w:r>
      <w:r>
        <w:rPr>
          <w:rFonts w:hint="eastAsia" w:ascii="Times New Roman" w:hAnsi="Times New Roman" w:cs="Times New Roman"/>
          <w:lang w:val="en-US" w:eastAsia="zh-CN"/>
        </w:rPr>
        <w:t xml:space="preserve"> cost </w:t>
      </w:r>
      <w:r>
        <w:rPr>
          <w:rFonts w:hint="default" w:ascii="Times New Roman" w:hAnsi="Times New Roman" w:cs="Times New Roman"/>
          <w:lang w:val="en-US" w:eastAsia="zh-CN"/>
        </w:rPr>
        <w:t xml:space="preserve">outsourcing </w:t>
      </w:r>
    </w:p>
    <w:p w14:paraId="443496B1">
      <w:pPr>
        <w:pStyle w:val="15"/>
        <w:keepLines w:val="0"/>
        <w:kinsoku/>
        <w:wordWrap/>
        <w:overflowPunct/>
        <w:topLinePunct w:val="0"/>
        <w:bidi w:val="0"/>
        <w:spacing w:line="240" w:lineRule="auto"/>
        <w:ind w:firstLine="420"/>
        <w:rPr>
          <w:rFonts w:hint="eastAsia" w:ascii="宋体" w:hAnsi="Times New Roman" w:eastAsia="宋体" w:cs="Times New Roman"/>
        </w:rPr>
      </w:pPr>
      <w:r>
        <w:rPr>
          <w:rFonts w:hint="eastAsia" w:ascii="宋体" w:hAnsi="Times New Roman" w:eastAsia="宋体" w:cs="Times New Roman"/>
          <w:lang w:val="en-US" w:eastAsia="zh-CN"/>
        </w:rPr>
        <w:t xml:space="preserve">简称“能源托管”，是合同能源管理的一种形式。由用能单位委托节能服务公司进行能源系统的运行、管理、维护或（和）节能改造。用能单位根据能源基准确定的能源系统运行、管理、维护和能源使用的费用，支付给节能服务公司作为托管费用。节能服务公司通过科学的管理运行和节能技术的应用达到节约能源，减少费用支出或增加收益，获取合理的利润。 </w:t>
      </w:r>
    </w:p>
    <w:p w14:paraId="7BC6C85A">
      <w:pPr>
        <w:pStyle w:val="15"/>
        <w:keepLines w:val="0"/>
        <w:kinsoku/>
        <w:wordWrap/>
        <w:overflowPunct/>
        <w:topLinePunct w:val="0"/>
        <w:bidi w:val="0"/>
        <w:spacing w:line="240" w:lineRule="auto"/>
        <w:ind w:firstLine="420"/>
        <w:rPr>
          <w:rFonts w:hint="eastAsia" w:ascii="宋体" w:hAnsi="Times New Roman" w:eastAsia="宋体" w:cs="Times New Roman"/>
        </w:rPr>
      </w:pPr>
      <w:r>
        <w:rPr>
          <w:rFonts w:hint="default" w:ascii="宋体" w:hAnsi="Times New Roman" w:eastAsia="宋体" w:cs="Times New Roman"/>
          <w:lang w:val="en-US" w:eastAsia="zh-CN"/>
        </w:rPr>
        <w:t>[</w:t>
      </w:r>
      <w:r>
        <w:rPr>
          <w:rFonts w:hint="eastAsia" w:ascii="宋体" w:hAnsi="Times New Roman" w:eastAsia="宋体" w:cs="Times New Roman"/>
          <w:lang w:val="en-US" w:eastAsia="zh-CN"/>
        </w:rPr>
        <w:t>来源：</w:t>
      </w:r>
      <w:r>
        <w:rPr>
          <w:rFonts w:hint="default" w:ascii="宋体" w:hAnsi="Times New Roman" w:eastAsia="宋体" w:cs="Times New Roman"/>
          <w:lang w:val="en-US" w:eastAsia="zh-CN"/>
        </w:rPr>
        <w:t>GB/T 24915—2020</w:t>
      </w:r>
      <w:r>
        <w:rPr>
          <w:rFonts w:hint="eastAsia" w:ascii="宋体" w:hAnsi="Times New Roman" w:eastAsia="宋体" w:cs="Times New Roman"/>
          <w:lang w:val="en-US" w:eastAsia="zh-CN"/>
        </w:rPr>
        <w:t>，附录</w:t>
      </w:r>
      <w:r>
        <w:rPr>
          <w:rFonts w:hint="default" w:ascii="宋体" w:hAnsi="Times New Roman" w:eastAsia="宋体" w:cs="Times New Roman"/>
          <w:lang w:val="en-US" w:eastAsia="zh-CN"/>
        </w:rPr>
        <w:t>C 1.9</w:t>
      </w:r>
      <w:r>
        <w:rPr>
          <w:rFonts w:hint="eastAsia" w:ascii="宋体" w:hAnsi="Times New Roman" w:eastAsia="宋体" w:cs="Times New Roman"/>
          <w:lang w:val="en-US" w:eastAsia="zh-CN"/>
        </w:rPr>
        <w:t>，有修改</w:t>
      </w:r>
      <w:r>
        <w:rPr>
          <w:rFonts w:hint="default" w:ascii="宋体" w:hAnsi="Times New Roman" w:eastAsia="宋体" w:cs="Times New Roman"/>
          <w:lang w:val="en-US" w:eastAsia="zh-CN"/>
        </w:rPr>
        <w:t>]</w:t>
      </w:r>
    </w:p>
    <w:p w14:paraId="2497D93E">
      <w:pPr>
        <w:pStyle w:val="14"/>
        <w:keepLines w:val="0"/>
        <w:kinsoku/>
        <w:wordWrap/>
        <w:overflowPunct/>
        <w:topLinePunct w:val="0"/>
        <w:bidi w:val="0"/>
        <w:spacing w:before="240" w:after="240" w:line="240" w:lineRule="auto"/>
        <w:ind w:left="0"/>
        <w:rPr>
          <w:rFonts w:hint="eastAsia"/>
          <w:szCs w:val="21"/>
          <w:lang w:val="en-US" w:eastAsia="zh-CN"/>
        </w:rPr>
      </w:pPr>
      <w:bookmarkStart w:id="26" w:name="_Toc2081"/>
      <w:bookmarkEnd w:id="26"/>
      <w:bookmarkStart w:id="27" w:name="_Toc17592"/>
      <w:bookmarkStart w:id="28" w:name="_Toc31838"/>
      <w:r>
        <w:rPr>
          <w:rFonts w:hint="eastAsia"/>
          <w:szCs w:val="21"/>
          <w:lang w:val="en-US" w:eastAsia="zh-CN"/>
        </w:rPr>
        <w:t>评价原则</w:t>
      </w:r>
      <w:bookmarkEnd w:id="27"/>
      <w:bookmarkEnd w:id="28"/>
    </w:p>
    <w:p w14:paraId="21E78E74">
      <w:pPr>
        <w:pStyle w:val="15"/>
        <w:keepLines w:val="0"/>
        <w:kinsoku/>
        <w:wordWrap/>
        <w:overflowPunct/>
        <w:topLinePunct w:val="0"/>
        <w:bidi w:val="0"/>
        <w:spacing w:line="240" w:lineRule="auto"/>
        <w:rPr>
          <w:rFonts w:hint="default"/>
          <w:lang w:val="en-US" w:eastAsia="zh-CN"/>
        </w:rPr>
      </w:pPr>
      <w:r>
        <w:rPr>
          <w:rFonts w:hint="eastAsia"/>
          <w:lang w:val="en-US" w:eastAsia="zh-CN"/>
        </w:rPr>
        <w:t>评价原则应符合GB/T 40010中的目的性原则、可操作性原则和全面性原则,并充分考虑能源费用托管服务对节能服务公司投资、运维等能力的特殊要求。</w:t>
      </w:r>
    </w:p>
    <w:bookmarkEnd w:id="20"/>
    <w:bookmarkEnd w:id="21"/>
    <w:p w14:paraId="1E2DAF4E">
      <w:pPr>
        <w:pStyle w:val="14"/>
        <w:keepLines w:val="0"/>
        <w:kinsoku/>
        <w:wordWrap/>
        <w:overflowPunct/>
        <w:topLinePunct w:val="0"/>
        <w:bidi w:val="0"/>
        <w:spacing w:before="240" w:after="240" w:line="240" w:lineRule="auto"/>
        <w:ind w:left="0"/>
        <w:rPr>
          <w:rFonts w:hint="eastAsia"/>
          <w:szCs w:val="21"/>
          <w:lang w:val="en-US" w:eastAsia="zh-CN"/>
        </w:rPr>
      </w:pPr>
      <w:bookmarkStart w:id="29" w:name="_Toc5155"/>
      <w:bookmarkStart w:id="30" w:name="_Toc3275"/>
      <w:r>
        <w:rPr>
          <w:rFonts w:hint="eastAsia"/>
          <w:szCs w:val="21"/>
          <w:lang w:val="en-US" w:eastAsia="zh-CN"/>
        </w:rPr>
        <w:t>评价机构认定</w:t>
      </w:r>
    </w:p>
    <w:p w14:paraId="56EBBE5E">
      <w:pPr>
        <w:pStyle w:val="17"/>
        <w:ind w:firstLine="0" w:firstLineChars="0"/>
        <w:rPr>
          <w:rFonts w:hint="eastAsia" w:ascii="宋体" w:eastAsia="宋体"/>
          <w:szCs w:val="20"/>
          <w:lang w:val="en-US" w:eastAsia="zh-CN"/>
        </w:rPr>
      </w:pPr>
      <w:r>
        <w:rPr>
          <w:rFonts w:hint="eastAsia" w:ascii="宋体" w:eastAsia="宋体"/>
          <w:szCs w:val="20"/>
          <w:lang w:val="en-US" w:eastAsia="zh-CN"/>
        </w:rPr>
        <w:t>评价机构应满足以下基本条件：</w:t>
      </w:r>
    </w:p>
    <w:p w14:paraId="5CC0E761">
      <w:pPr>
        <w:pStyle w:val="32"/>
        <w:numPr>
          <w:ilvl w:val="-1"/>
          <w:numId w:val="0"/>
        </w:numPr>
        <w:ind w:left="425" w:firstLine="0"/>
        <w:rPr>
          <w:rFonts w:hint="eastAsia"/>
          <w:lang w:bidi="ar"/>
        </w:rPr>
      </w:pPr>
      <w:r>
        <w:rPr>
          <w:rFonts w:hint="eastAsia"/>
          <w:lang w:val="en-US" w:eastAsia="zh-CN" w:bidi="ar"/>
        </w:rPr>
        <w:t>a）</w:t>
      </w:r>
      <w:r>
        <w:rPr>
          <w:rFonts w:hint="eastAsia"/>
          <w:lang w:bidi="ar"/>
        </w:rPr>
        <w:t>在中华人民共和国境内依法设立并具备独立法人资格，拥有固定的办公场所及配套办公条件；</w:t>
      </w:r>
    </w:p>
    <w:p w14:paraId="2673D8C1">
      <w:pPr>
        <w:pStyle w:val="32"/>
        <w:numPr>
          <w:ilvl w:val="-1"/>
          <w:numId w:val="0"/>
        </w:numPr>
        <w:ind w:left="425" w:firstLine="0"/>
        <w:rPr>
          <w:rFonts w:hint="eastAsia"/>
          <w:lang w:bidi="ar"/>
        </w:rPr>
      </w:pPr>
      <w:r>
        <w:rPr>
          <w:rFonts w:hint="eastAsia"/>
          <w:lang w:bidi="ar"/>
        </w:rPr>
        <w:t>b）具备10年及以上节能领域研究、咨询、评价等从业基础，熟练掌握能源托管服务相关政策、标准与规范要求；</w:t>
      </w:r>
    </w:p>
    <w:p w14:paraId="2DB3A560">
      <w:pPr>
        <w:pStyle w:val="32"/>
        <w:numPr>
          <w:ilvl w:val="-1"/>
          <w:numId w:val="0"/>
        </w:numPr>
        <w:ind w:left="425" w:firstLine="0"/>
        <w:rPr>
          <w:rFonts w:hint="eastAsia"/>
          <w:lang w:bidi="ar"/>
        </w:rPr>
      </w:pPr>
      <w:r>
        <w:rPr>
          <w:rFonts w:hint="eastAsia"/>
          <w:lang w:bidi="ar"/>
        </w:rPr>
        <w:t>c）配备不少于 5 名能源托管服务专职评价人员，高级工程师及以上职称人员占比不低于30%；</w:t>
      </w:r>
    </w:p>
    <w:p w14:paraId="4D3388AE">
      <w:pPr>
        <w:pStyle w:val="32"/>
        <w:numPr>
          <w:ilvl w:val="-1"/>
          <w:numId w:val="0"/>
        </w:numPr>
        <w:ind w:left="425" w:firstLine="0"/>
        <w:rPr>
          <w:rFonts w:hint="eastAsia"/>
          <w:lang w:bidi="ar"/>
        </w:rPr>
      </w:pPr>
      <w:r>
        <w:rPr>
          <w:rFonts w:hint="eastAsia"/>
          <w:lang w:bidi="ar"/>
        </w:rPr>
        <w:t>d）近三年内无不良执业记录。</w:t>
      </w:r>
    </w:p>
    <w:p w14:paraId="32E64B30">
      <w:pPr>
        <w:pStyle w:val="17"/>
        <w:ind w:firstLine="0"/>
        <w:rPr>
          <w:rFonts w:hint="eastAsia"/>
          <w:lang w:bidi="ar"/>
        </w:rPr>
      </w:pPr>
      <w:r>
        <w:rPr>
          <w:rFonts w:hint="eastAsia" w:ascii="宋体" w:eastAsia="宋体"/>
          <w:szCs w:val="20"/>
          <w:lang w:val="en-US" w:eastAsia="zh-CN"/>
        </w:rPr>
        <w:t>行业协会依据《能源托管服务评价机构认定和管理办法》和本文件有关规定认定评价机构，定期公布认定机构名单。</w:t>
      </w:r>
    </w:p>
    <w:p w14:paraId="038D0821">
      <w:pPr>
        <w:pStyle w:val="14"/>
        <w:keepLines w:val="0"/>
        <w:kinsoku/>
        <w:wordWrap/>
        <w:overflowPunct/>
        <w:topLinePunct w:val="0"/>
        <w:bidi w:val="0"/>
        <w:spacing w:before="240" w:after="240" w:line="240" w:lineRule="auto"/>
        <w:ind w:left="0"/>
        <w:rPr>
          <w:rFonts w:hint="eastAsia"/>
          <w:szCs w:val="21"/>
          <w:lang w:val="en-US" w:eastAsia="zh-CN"/>
        </w:rPr>
      </w:pPr>
      <w:r>
        <w:rPr>
          <w:rFonts w:hint="eastAsia"/>
          <w:szCs w:val="21"/>
          <w:lang w:val="en-US" w:eastAsia="zh-CN"/>
        </w:rPr>
        <w:t>评价</w:t>
      </w:r>
      <w:r>
        <w:rPr>
          <w:rFonts w:hint="default"/>
          <w:szCs w:val="21"/>
          <w:lang w:val="en-US" w:eastAsia="zh-CN"/>
        </w:rPr>
        <w:t>内容</w:t>
      </w:r>
      <w:bookmarkEnd w:id="29"/>
      <w:bookmarkEnd w:id="30"/>
    </w:p>
    <w:p w14:paraId="337DF00A">
      <w:pPr>
        <w:pStyle w:val="17"/>
        <w:keepLines w:val="0"/>
        <w:kinsoku/>
        <w:wordWrap/>
        <w:overflowPunct/>
        <w:topLinePunct w:val="0"/>
        <w:bidi w:val="0"/>
        <w:spacing w:line="240" w:lineRule="auto"/>
        <w:ind w:left="0" w:leftChars="0" w:firstLine="0" w:firstLineChars="0"/>
        <w:rPr>
          <w:rFonts w:hint="eastAsia"/>
          <w:lang w:val="en-US" w:eastAsia="zh-CN"/>
        </w:rPr>
      </w:pPr>
      <w:bookmarkStart w:id="31" w:name="_Toc22083"/>
      <w:r>
        <w:rPr>
          <w:rFonts w:hint="eastAsia"/>
          <w:lang w:val="en-US" w:eastAsia="zh-CN"/>
        </w:rPr>
        <w:t>基本要求</w:t>
      </w:r>
      <w:bookmarkEnd w:id="31"/>
    </w:p>
    <w:p w14:paraId="3173806B">
      <w:pPr>
        <w:pStyle w:val="17"/>
        <w:keepLines w:val="0"/>
        <w:numPr>
          <w:ilvl w:val="2"/>
          <w:numId w:val="1"/>
        </w:numPr>
        <w:kinsoku/>
        <w:wordWrap/>
        <w:overflowPunct/>
        <w:topLinePunct w:val="0"/>
        <w:bidi w:val="0"/>
        <w:spacing w:line="240" w:lineRule="auto"/>
        <w:ind w:left="0" w:leftChars="0" w:firstLine="0" w:firstLineChars="0"/>
        <w:rPr>
          <w:rFonts w:hint="eastAsia" w:ascii="宋体" w:hAnsi="Times New Roman" w:eastAsia="宋体" w:cs="Times New Roman"/>
          <w:sz w:val="21"/>
          <w:szCs w:val="20"/>
          <w:lang w:val="en-US" w:eastAsia="zh-CN" w:bidi="ar-SA"/>
        </w:rPr>
      </w:pPr>
      <w:bookmarkStart w:id="32" w:name="_Toc32491"/>
      <w:r>
        <w:rPr>
          <w:rFonts w:hint="eastAsia" w:ascii="宋体" w:hAnsi="Times New Roman" w:eastAsia="宋体" w:cs="Times New Roman"/>
          <w:sz w:val="21"/>
          <w:szCs w:val="20"/>
          <w:lang w:val="en-US" w:eastAsia="zh-CN" w:bidi="ar-SA"/>
        </w:rPr>
        <w:t>节能服务公司应具有独立法人资格，具有与能源费用托管服务相适应的固定经营场所，确保所提供资料真实性、有效性。</w:t>
      </w:r>
      <w:bookmarkEnd w:id="32"/>
    </w:p>
    <w:p w14:paraId="0F236707">
      <w:pPr>
        <w:pStyle w:val="17"/>
        <w:keepLines w:val="0"/>
        <w:numPr>
          <w:ilvl w:val="2"/>
          <w:numId w:val="1"/>
        </w:numPr>
        <w:kinsoku/>
        <w:wordWrap/>
        <w:overflowPunct/>
        <w:topLinePunct w:val="0"/>
        <w:bidi w:val="0"/>
        <w:spacing w:line="240" w:lineRule="auto"/>
        <w:ind w:left="0" w:leftChars="0" w:firstLine="0" w:firstLineChars="0"/>
        <w:rPr>
          <w:rFonts w:hint="default" w:ascii="宋体" w:hAnsi="Times New Roman" w:eastAsia="宋体" w:cs="Times New Roman"/>
          <w:sz w:val="21"/>
          <w:lang w:val="en-US" w:eastAsia="zh-CN" w:bidi="ar-SA"/>
        </w:rPr>
      </w:pPr>
      <w:bookmarkStart w:id="33" w:name="_Toc30537"/>
      <w:r>
        <w:rPr>
          <w:rFonts w:hint="eastAsia" w:ascii="宋体" w:hAnsi="Times New Roman" w:eastAsia="宋体" w:cs="Times New Roman"/>
          <w:sz w:val="21"/>
          <w:lang w:val="en-US" w:eastAsia="zh-CN" w:bidi="ar-SA"/>
        </w:rPr>
        <w:t>评审过程</w:t>
      </w:r>
      <w:r>
        <w:rPr>
          <w:rFonts w:hint="eastAsia" w:ascii="宋体" w:eastAsia="宋体" w:cs="Times New Roman"/>
          <w:sz w:val="21"/>
          <w:lang w:val="en-US" w:eastAsia="zh-CN" w:bidi="ar-SA"/>
        </w:rPr>
        <w:t>包括但不限于：形式初审、文件资料和记录查阅、现场调研、相关方走访询问、项目抽样审查、专家评议、形成评估结果。</w:t>
      </w:r>
      <w:bookmarkEnd w:id="33"/>
    </w:p>
    <w:p w14:paraId="32BDBCC8">
      <w:pPr>
        <w:pStyle w:val="17"/>
        <w:keepLines w:val="0"/>
        <w:kinsoku/>
        <w:wordWrap/>
        <w:overflowPunct/>
        <w:topLinePunct w:val="0"/>
        <w:bidi w:val="0"/>
        <w:spacing w:line="240" w:lineRule="auto"/>
        <w:ind w:left="0" w:leftChars="0" w:firstLine="0" w:firstLineChars="0"/>
        <w:rPr>
          <w:rFonts w:hint="eastAsia"/>
          <w:lang w:val="en-US" w:eastAsia="zh-CN"/>
        </w:rPr>
      </w:pPr>
      <w:bookmarkStart w:id="34" w:name="_Toc14559"/>
      <w:r>
        <w:rPr>
          <w:rFonts w:hint="eastAsia"/>
          <w:lang w:val="en-US" w:eastAsia="zh-CN"/>
        </w:rPr>
        <w:t>评价指标</w:t>
      </w:r>
      <w:bookmarkEnd w:id="34"/>
      <w:r>
        <w:rPr>
          <w:rFonts w:hint="eastAsia"/>
          <w:lang w:val="en-US" w:eastAsia="zh-CN"/>
        </w:rPr>
        <w:t>体系</w:t>
      </w:r>
    </w:p>
    <w:p w14:paraId="070637C9">
      <w:pPr>
        <w:pStyle w:val="15"/>
        <w:keepLines w:val="0"/>
        <w:kinsoku/>
        <w:wordWrap/>
        <w:overflowPunct/>
        <w:topLinePunct w:val="0"/>
        <w:bidi w:val="0"/>
        <w:spacing w:line="240" w:lineRule="auto"/>
        <w:ind w:left="0" w:leftChars="0" w:firstLine="420" w:firstLineChars="200"/>
        <w:rPr>
          <w:rFonts w:hint="eastAsia"/>
          <w:lang w:val="en-US" w:eastAsia="zh-CN"/>
        </w:rPr>
      </w:pPr>
      <w:r>
        <w:rPr>
          <w:rFonts w:hint="eastAsia"/>
          <w:lang w:val="en-US" w:eastAsia="zh-CN"/>
        </w:rPr>
        <w:t>主要包括服务能力、服务过程、服务绩效三个维度的指标。推荐的能源托管服务评价指标体系及说明见表1。在评价过程中，可根据实际情况设置相关指标和权重赋值。能源费用托管服务评价指标体系权重赋值示例可参考附录A。</w:t>
      </w:r>
    </w:p>
    <w:p w14:paraId="716E9D0C">
      <w:pPr>
        <w:pStyle w:val="34"/>
        <w:keepLines w:val="0"/>
        <w:kinsoku/>
        <w:wordWrap/>
        <w:overflowPunct/>
        <w:topLinePunct w:val="0"/>
        <w:bidi w:val="0"/>
        <w:spacing w:line="240" w:lineRule="auto"/>
      </w:pPr>
      <w:bookmarkStart w:id="35" w:name="_Toc31420"/>
      <w:r>
        <w:rPr>
          <w:rFonts w:hint="eastAsia"/>
          <w:lang w:val="en-US" w:eastAsia="zh-CN"/>
        </w:rPr>
        <w:t>能源费用托管服务评价指标体系及说明</w:t>
      </w:r>
    </w:p>
    <w:tbl>
      <w:tblPr>
        <w:tblStyle w:val="9"/>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0" w:type="dxa"/>
          <w:bottom w:w="0" w:type="dxa"/>
          <w:right w:w="100" w:type="dxa"/>
        </w:tblCellMar>
      </w:tblPr>
      <w:tblGrid>
        <w:gridCol w:w="1114"/>
        <w:gridCol w:w="1461"/>
        <w:gridCol w:w="6697"/>
      </w:tblGrid>
      <w:tr w14:paraId="14AFD2D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tblHeader/>
          <w:jc w:val="center"/>
        </w:trPr>
        <w:tc>
          <w:tcPr>
            <w:tcW w:w="1140" w:type="dxa"/>
            <w:tcBorders>
              <w:bottom w:val="single" w:color="auto" w:sz="8" w:space="0"/>
            </w:tcBorders>
            <w:vAlign w:val="center"/>
          </w:tcPr>
          <w:p w14:paraId="005E657B">
            <w:pPr>
              <w:pStyle w:val="35"/>
              <w:keepLines w:val="0"/>
              <w:kinsoku/>
              <w:wordWrap/>
              <w:overflowPunct/>
              <w:topLinePunct w:val="0"/>
              <w:bidi w:val="0"/>
              <w:spacing w:line="240" w:lineRule="auto"/>
              <w:jc w:val="center"/>
              <w:rPr>
                <w:rFonts w:hint="default" w:eastAsia="宋体"/>
                <w:lang w:val="en-US" w:eastAsia="zh-CN"/>
              </w:rPr>
            </w:pPr>
            <w:r>
              <w:rPr>
                <w:rFonts w:hint="eastAsia"/>
                <w:lang w:val="en-US" w:eastAsia="zh-CN"/>
              </w:rPr>
              <w:t>一级指标</w:t>
            </w:r>
          </w:p>
        </w:tc>
        <w:tc>
          <w:tcPr>
            <w:tcW w:w="1500" w:type="dxa"/>
            <w:tcBorders>
              <w:bottom w:val="single" w:color="auto" w:sz="8" w:space="0"/>
            </w:tcBorders>
            <w:vAlign w:val="center"/>
          </w:tcPr>
          <w:p w14:paraId="012852C9">
            <w:pPr>
              <w:pStyle w:val="35"/>
              <w:keepLines w:val="0"/>
              <w:kinsoku/>
              <w:wordWrap/>
              <w:overflowPunct/>
              <w:topLinePunct w:val="0"/>
              <w:bidi w:val="0"/>
              <w:spacing w:line="240" w:lineRule="auto"/>
              <w:jc w:val="center"/>
              <w:rPr>
                <w:rFonts w:hint="default" w:eastAsia="宋体"/>
                <w:lang w:val="en-US" w:eastAsia="zh-CN"/>
              </w:rPr>
            </w:pPr>
            <w:r>
              <w:rPr>
                <w:rFonts w:hint="eastAsia"/>
                <w:lang w:val="en-US" w:eastAsia="zh-CN"/>
              </w:rPr>
              <w:t>二级指标</w:t>
            </w:r>
          </w:p>
        </w:tc>
        <w:tc>
          <w:tcPr>
            <w:tcW w:w="6914" w:type="dxa"/>
            <w:tcBorders>
              <w:bottom w:val="single" w:color="auto" w:sz="8" w:space="0"/>
            </w:tcBorders>
            <w:vAlign w:val="center"/>
          </w:tcPr>
          <w:p w14:paraId="1D501AB9">
            <w:pPr>
              <w:pStyle w:val="35"/>
              <w:keepLines w:val="0"/>
              <w:kinsoku/>
              <w:wordWrap/>
              <w:overflowPunct/>
              <w:topLinePunct w:val="0"/>
              <w:bidi w:val="0"/>
              <w:spacing w:line="240" w:lineRule="auto"/>
              <w:jc w:val="center"/>
              <w:rPr>
                <w:rFonts w:hint="default" w:eastAsia="宋体"/>
                <w:lang w:val="en-US" w:eastAsia="zh-CN"/>
              </w:rPr>
            </w:pPr>
            <w:r>
              <w:rPr>
                <w:rFonts w:hint="eastAsia"/>
                <w:lang w:val="en-US" w:eastAsia="zh-CN"/>
              </w:rPr>
              <w:t>指标说明</w:t>
            </w:r>
          </w:p>
        </w:tc>
      </w:tr>
      <w:tr w14:paraId="68EAE98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PrEx>
        <w:trPr>
          <w:jc w:val="center"/>
        </w:trPr>
        <w:tc>
          <w:tcPr>
            <w:tcW w:w="1140" w:type="dxa"/>
            <w:vMerge w:val="restart"/>
            <w:tcBorders>
              <w:top w:val="single" w:color="auto" w:sz="8" w:space="0"/>
            </w:tcBorders>
            <w:vAlign w:val="center"/>
          </w:tcPr>
          <w:p w14:paraId="27E6057A">
            <w:pPr>
              <w:pStyle w:val="35"/>
              <w:keepLines w:val="0"/>
              <w:kinsoku/>
              <w:wordWrap/>
              <w:overflowPunct/>
              <w:topLinePunct w:val="0"/>
              <w:bidi w:val="0"/>
              <w:spacing w:line="240" w:lineRule="auto"/>
              <w:jc w:val="center"/>
              <w:rPr>
                <w:rFonts w:hint="default" w:eastAsia="宋体"/>
                <w:lang w:val="en-US" w:eastAsia="zh-CN"/>
              </w:rPr>
            </w:pPr>
            <w:r>
              <w:rPr>
                <w:rFonts w:hint="eastAsia"/>
                <w:lang w:val="en-US" w:eastAsia="zh-CN"/>
              </w:rPr>
              <w:t>服务能力</w:t>
            </w:r>
          </w:p>
        </w:tc>
        <w:tc>
          <w:tcPr>
            <w:tcW w:w="1500" w:type="dxa"/>
            <w:tcBorders>
              <w:top w:val="single" w:color="auto" w:sz="8" w:space="0"/>
            </w:tcBorders>
            <w:vAlign w:val="center"/>
          </w:tcPr>
          <w:p w14:paraId="4FD58B90">
            <w:pPr>
              <w:pStyle w:val="35"/>
              <w:keepLines w:val="0"/>
              <w:kinsoku/>
              <w:wordWrap/>
              <w:overflowPunct/>
              <w:topLinePunct w:val="0"/>
              <w:bidi w:val="0"/>
              <w:spacing w:line="240" w:lineRule="auto"/>
              <w:jc w:val="center"/>
              <w:rPr>
                <w:rFonts w:hint="default" w:eastAsia="宋体"/>
                <w:lang w:val="en-US" w:eastAsia="zh-CN"/>
              </w:rPr>
            </w:pPr>
            <w:r>
              <w:rPr>
                <w:rFonts w:hint="eastAsia"/>
                <w:lang w:val="en-US" w:eastAsia="zh-CN"/>
              </w:rPr>
              <w:t>技术提供能力</w:t>
            </w:r>
          </w:p>
        </w:tc>
        <w:tc>
          <w:tcPr>
            <w:tcW w:w="6914" w:type="dxa"/>
            <w:tcBorders>
              <w:top w:val="single" w:color="auto" w:sz="8" w:space="0"/>
            </w:tcBorders>
            <w:vAlign w:val="center"/>
          </w:tcPr>
          <w:p w14:paraId="080699A5">
            <w:pPr>
              <w:pStyle w:val="35"/>
              <w:keepLines w:val="0"/>
              <w:kinsoku/>
              <w:wordWrap/>
              <w:overflowPunct/>
              <w:topLinePunct w:val="0"/>
              <w:bidi w:val="0"/>
              <w:spacing w:line="240" w:lineRule="auto"/>
              <w:jc w:val="left"/>
              <w:rPr>
                <w:rFonts w:hint="default" w:ascii="Times New Roman" w:hAnsi="Times New Roman" w:eastAsia="宋体" w:cs="Times New Roman"/>
                <w:lang w:val="en-US" w:eastAsia="zh-CN"/>
              </w:rPr>
            </w:pPr>
            <w:r>
              <w:rPr>
                <w:rFonts w:hint="eastAsia"/>
                <w:lang w:val="en-US" w:eastAsia="zh-CN"/>
              </w:rPr>
              <w:t>节能服务公司</w:t>
            </w:r>
            <w:r>
              <w:rPr>
                <w:rFonts w:hint="eastAsia" w:ascii="Times New Roman" w:hAnsi="Times New Roman" w:eastAsia="宋体" w:cs="Times New Roman"/>
                <w:lang w:val="en-US" w:eastAsia="zh-CN"/>
              </w:rPr>
              <w:t>应具备提供电、气、煤、油、市政热力、水等能源资源系统的节能方案设计、建设或改造、管理和维护等方面的技术能力</w:t>
            </w:r>
            <w:r>
              <w:rPr>
                <w:rFonts w:hint="eastAsia" w:ascii="Times New Roman" w:cs="Times New Roman"/>
                <w:lang w:val="en-US" w:eastAsia="zh-CN"/>
              </w:rPr>
              <w:t>，拥有一定数量自主研发的专利技术</w:t>
            </w:r>
            <w:r>
              <w:rPr>
                <w:rFonts w:hint="eastAsia" w:ascii="Times New Roman" w:hAnsi="Times New Roman" w:eastAsia="宋体" w:cs="Times New Roman"/>
                <w:lang w:val="en-US" w:eastAsia="zh-CN"/>
              </w:rPr>
              <w:t>。</w:t>
            </w:r>
          </w:p>
        </w:tc>
      </w:tr>
      <w:tr w14:paraId="3295D57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1140" w:type="dxa"/>
            <w:vMerge w:val="continue"/>
            <w:vAlign w:val="center"/>
          </w:tcPr>
          <w:p w14:paraId="4254FA42">
            <w:pPr>
              <w:pStyle w:val="35"/>
              <w:keepLines w:val="0"/>
              <w:kinsoku/>
              <w:wordWrap/>
              <w:overflowPunct/>
              <w:topLinePunct w:val="0"/>
              <w:bidi w:val="0"/>
              <w:spacing w:line="240" w:lineRule="auto"/>
              <w:jc w:val="center"/>
            </w:pPr>
          </w:p>
        </w:tc>
        <w:tc>
          <w:tcPr>
            <w:tcW w:w="1500" w:type="dxa"/>
            <w:vAlign w:val="center"/>
          </w:tcPr>
          <w:p w14:paraId="7C53D665">
            <w:pPr>
              <w:pStyle w:val="35"/>
              <w:keepLines w:val="0"/>
              <w:kinsoku/>
              <w:wordWrap/>
              <w:overflowPunct/>
              <w:topLinePunct w:val="0"/>
              <w:bidi w:val="0"/>
              <w:spacing w:line="240" w:lineRule="auto"/>
              <w:jc w:val="center"/>
            </w:pPr>
            <w:r>
              <w:rPr>
                <w:rFonts w:hint="eastAsia" w:ascii="Times New Roman" w:hAnsi="Times New Roman" w:eastAsia="宋体" w:cs="Times New Roman"/>
                <w:lang w:val="en-US" w:eastAsia="zh-CN"/>
              </w:rPr>
              <w:t>人员资源配置</w:t>
            </w:r>
          </w:p>
        </w:tc>
        <w:tc>
          <w:tcPr>
            <w:tcW w:w="6914" w:type="dxa"/>
            <w:vAlign w:val="center"/>
          </w:tcPr>
          <w:p w14:paraId="437DE224">
            <w:pPr>
              <w:pStyle w:val="35"/>
              <w:keepLines w:val="0"/>
              <w:kinsoku/>
              <w:wordWrap/>
              <w:overflowPunct/>
              <w:topLinePunct w:val="0"/>
              <w:bidi w:val="0"/>
              <w:spacing w:line="240" w:lineRule="auto"/>
              <w:jc w:val="left"/>
            </w:pPr>
            <w:r>
              <w:rPr>
                <w:rFonts w:hint="eastAsia"/>
                <w:lang w:val="en-US" w:eastAsia="zh-CN"/>
              </w:rPr>
              <w:t>节能服务公司</w:t>
            </w:r>
            <w:r>
              <w:rPr>
                <w:rFonts w:hint="eastAsia" w:ascii="Times New Roman" w:hAnsi="Times New Roman" w:eastAsia="宋体" w:cs="Times New Roman"/>
                <w:lang w:val="en-US" w:eastAsia="zh-CN"/>
              </w:rPr>
              <w:t>应配备符合所提供能源托管服务有关要求的人员，包括节能改造、运行维护、财务管理等方面的人员。</w:t>
            </w:r>
          </w:p>
        </w:tc>
      </w:tr>
      <w:tr w14:paraId="4794D61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1140" w:type="dxa"/>
            <w:vMerge w:val="continue"/>
            <w:vAlign w:val="center"/>
          </w:tcPr>
          <w:p w14:paraId="357BABA5">
            <w:pPr>
              <w:pStyle w:val="35"/>
              <w:keepLines w:val="0"/>
              <w:kinsoku/>
              <w:wordWrap/>
              <w:overflowPunct/>
              <w:topLinePunct w:val="0"/>
              <w:bidi w:val="0"/>
              <w:spacing w:line="240" w:lineRule="auto"/>
              <w:jc w:val="center"/>
            </w:pPr>
          </w:p>
        </w:tc>
        <w:tc>
          <w:tcPr>
            <w:tcW w:w="1500" w:type="dxa"/>
            <w:vAlign w:val="center"/>
          </w:tcPr>
          <w:p w14:paraId="10F046E7">
            <w:pPr>
              <w:pStyle w:val="35"/>
              <w:keepLines w:val="0"/>
              <w:kinsoku/>
              <w:wordWrap/>
              <w:overflowPunct/>
              <w:topLinePunct w:val="0"/>
              <w:bidi w:val="0"/>
              <w:spacing w:line="240" w:lineRule="auto"/>
              <w:jc w:val="center"/>
              <w:rPr>
                <w:rFonts w:hint="default" w:eastAsia="宋体"/>
                <w:lang w:val="en-US" w:eastAsia="zh-CN"/>
              </w:rPr>
            </w:pPr>
            <w:r>
              <w:rPr>
                <w:rFonts w:hint="eastAsia"/>
                <w:lang w:val="en-US" w:eastAsia="zh-CN"/>
              </w:rPr>
              <w:t>组织管理水平</w:t>
            </w:r>
          </w:p>
        </w:tc>
        <w:tc>
          <w:tcPr>
            <w:tcW w:w="6914" w:type="dxa"/>
            <w:vAlign w:val="center"/>
          </w:tcPr>
          <w:p w14:paraId="0A361635">
            <w:pPr>
              <w:pStyle w:val="35"/>
              <w:keepLines w:val="0"/>
              <w:kinsoku/>
              <w:wordWrap/>
              <w:overflowPunct/>
              <w:topLinePunct w:val="0"/>
              <w:bidi w:val="0"/>
              <w:spacing w:line="240" w:lineRule="auto"/>
              <w:jc w:val="both"/>
              <w:rPr>
                <w:rFonts w:hint="default" w:eastAsia="宋体"/>
                <w:lang w:val="en-US" w:eastAsia="zh-CN"/>
              </w:rPr>
            </w:pPr>
            <w:r>
              <w:rPr>
                <w:rFonts w:hint="eastAsia"/>
                <w:lang w:val="en-US" w:eastAsia="zh-CN"/>
              </w:rPr>
              <w:t>节能服务公司应具有较为完善的组织机构、管理制度，依据GB/T 23331建立能源管理体系。</w:t>
            </w:r>
          </w:p>
        </w:tc>
      </w:tr>
      <w:tr w14:paraId="4A42200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1140" w:type="dxa"/>
            <w:vMerge w:val="continue"/>
            <w:vAlign w:val="center"/>
          </w:tcPr>
          <w:p w14:paraId="76D927D6">
            <w:pPr>
              <w:pStyle w:val="35"/>
              <w:keepLines w:val="0"/>
              <w:kinsoku/>
              <w:wordWrap/>
              <w:overflowPunct/>
              <w:topLinePunct w:val="0"/>
              <w:bidi w:val="0"/>
              <w:spacing w:line="240" w:lineRule="auto"/>
              <w:jc w:val="center"/>
            </w:pPr>
          </w:p>
        </w:tc>
        <w:tc>
          <w:tcPr>
            <w:tcW w:w="1500" w:type="dxa"/>
            <w:vAlign w:val="center"/>
          </w:tcPr>
          <w:p w14:paraId="0921F8D1">
            <w:pPr>
              <w:pStyle w:val="35"/>
              <w:keepLines w:val="0"/>
              <w:kinsoku/>
              <w:wordWrap/>
              <w:overflowPunct/>
              <w:topLinePunct w:val="0"/>
              <w:bidi w:val="0"/>
              <w:spacing w:line="240" w:lineRule="auto"/>
              <w:jc w:val="center"/>
              <w:rPr>
                <w:rFonts w:hint="default" w:eastAsia="宋体"/>
                <w:lang w:val="en-US" w:eastAsia="zh-CN"/>
              </w:rPr>
            </w:pPr>
            <w:r>
              <w:rPr>
                <w:rFonts w:hint="eastAsia"/>
                <w:lang w:val="en-US" w:eastAsia="zh-CN"/>
              </w:rPr>
              <w:t>资金及财务管理</w:t>
            </w:r>
          </w:p>
        </w:tc>
        <w:tc>
          <w:tcPr>
            <w:tcW w:w="6914" w:type="dxa"/>
            <w:vAlign w:val="center"/>
          </w:tcPr>
          <w:p w14:paraId="182CF0A4">
            <w:pPr>
              <w:pStyle w:val="35"/>
              <w:keepLines w:val="0"/>
              <w:kinsoku/>
              <w:wordWrap/>
              <w:overflowPunct/>
              <w:topLinePunct w:val="0"/>
              <w:bidi w:val="0"/>
              <w:spacing w:line="240" w:lineRule="auto"/>
              <w:jc w:val="both"/>
              <w:rPr>
                <w:rFonts w:hint="default" w:eastAsia="宋体"/>
                <w:lang w:val="en-US" w:eastAsia="zh-CN"/>
              </w:rPr>
            </w:pPr>
            <w:r>
              <w:rPr>
                <w:rFonts w:hint="eastAsia"/>
                <w:lang w:val="en-US" w:eastAsia="zh-CN"/>
              </w:rPr>
              <w:t>节能服务公司应具有满足能源托管服务所需的投资能力（包含自有资金和融资能力）和财务管理能力。</w:t>
            </w:r>
          </w:p>
        </w:tc>
      </w:tr>
      <w:tr w14:paraId="2E3BF74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1140" w:type="dxa"/>
            <w:vMerge w:val="continue"/>
            <w:vAlign w:val="center"/>
          </w:tcPr>
          <w:p w14:paraId="06AC6FB7">
            <w:pPr>
              <w:pStyle w:val="35"/>
              <w:keepLines w:val="0"/>
              <w:kinsoku/>
              <w:wordWrap/>
              <w:overflowPunct/>
              <w:topLinePunct w:val="0"/>
              <w:bidi w:val="0"/>
              <w:spacing w:line="240" w:lineRule="auto"/>
              <w:jc w:val="center"/>
            </w:pPr>
          </w:p>
        </w:tc>
        <w:tc>
          <w:tcPr>
            <w:tcW w:w="1500" w:type="dxa"/>
            <w:vAlign w:val="center"/>
          </w:tcPr>
          <w:p w14:paraId="33AB6F1C">
            <w:pPr>
              <w:pStyle w:val="35"/>
              <w:keepLines w:val="0"/>
              <w:kinsoku/>
              <w:wordWrap/>
              <w:overflowPunct/>
              <w:topLinePunct w:val="0"/>
              <w:bidi w:val="0"/>
              <w:spacing w:line="240" w:lineRule="auto"/>
              <w:jc w:val="center"/>
              <w:rPr>
                <w:rFonts w:hint="default" w:eastAsia="宋体"/>
                <w:lang w:val="en-US" w:eastAsia="zh-CN"/>
              </w:rPr>
            </w:pPr>
            <w:r>
              <w:rPr>
                <w:rFonts w:hint="eastAsia"/>
                <w:lang w:val="en-US" w:eastAsia="zh-CN"/>
              </w:rPr>
              <w:t>风险防控能力</w:t>
            </w:r>
          </w:p>
        </w:tc>
        <w:tc>
          <w:tcPr>
            <w:tcW w:w="6914" w:type="dxa"/>
            <w:vAlign w:val="center"/>
          </w:tcPr>
          <w:p w14:paraId="717DA795">
            <w:pPr>
              <w:pStyle w:val="35"/>
              <w:keepLines w:val="0"/>
              <w:kinsoku/>
              <w:wordWrap/>
              <w:overflowPunct/>
              <w:topLinePunct w:val="0"/>
              <w:bidi w:val="0"/>
              <w:spacing w:line="240" w:lineRule="auto"/>
              <w:jc w:val="both"/>
              <w:rPr>
                <w:rFonts w:hint="default" w:eastAsia="宋体"/>
                <w:lang w:val="en-US" w:eastAsia="zh-CN"/>
              </w:rPr>
            </w:pPr>
            <w:r>
              <w:rPr>
                <w:rFonts w:hint="eastAsia"/>
                <w:lang w:val="en-US" w:eastAsia="zh-CN"/>
              </w:rPr>
              <w:t>节能服务公司应对技术、运营、收益等潜在的能源托管服务有关风险因素进行识别，并具有相应的风险防范和控制能力。</w:t>
            </w:r>
          </w:p>
        </w:tc>
      </w:tr>
      <w:tr w14:paraId="0A4F7A1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1140" w:type="dxa"/>
            <w:vMerge w:val="restart"/>
            <w:vAlign w:val="center"/>
          </w:tcPr>
          <w:p w14:paraId="50B08B42">
            <w:pPr>
              <w:pStyle w:val="35"/>
              <w:keepLines w:val="0"/>
              <w:kinsoku/>
              <w:wordWrap/>
              <w:overflowPunct/>
              <w:topLinePunct w:val="0"/>
              <w:bidi w:val="0"/>
              <w:spacing w:line="240" w:lineRule="auto"/>
              <w:jc w:val="center"/>
              <w:rPr>
                <w:rFonts w:hint="default"/>
                <w:lang w:val="en-US" w:eastAsia="zh-CN"/>
              </w:rPr>
            </w:pPr>
            <w:r>
              <w:rPr>
                <w:rFonts w:hint="eastAsia"/>
                <w:lang w:val="en-US" w:eastAsia="zh-CN"/>
              </w:rPr>
              <w:t>服务过程</w:t>
            </w:r>
          </w:p>
        </w:tc>
        <w:tc>
          <w:tcPr>
            <w:tcW w:w="1500" w:type="dxa"/>
            <w:vAlign w:val="center"/>
          </w:tcPr>
          <w:p w14:paraId="711FDA4E">
            <w:pPr>
              <w:pStyle w:val="35"/>
              <w:keepLines w:val="0"/>
              <w:kinsoku/>
              <w:wordWrap/>
              <w:overflowPunct/>
              <w:topLinePunct w:val="0"/>
              <w:bidi w:val="0"/>
              <w:spacing w:line="240" w:lineRule="auto"/>
              <w:jc w:val="center"/>
              <w:rPr>
                <w:rFonts w:hint="default" w:eastAsia="宋体"/>
                <w:lang w:val="en-US" w:eastAsia="zh-CN"/>
              </w:rPr>
            </w:pPr>
            <w:r>
              <w:rPr>
                <w:rFonts w:hint="eastAsia"/>
                <w:lang w:val="en-US" w:eastAsia="zh-CN"/>
              </w:rPr>
              <w:t>用能状况诊断</w:t>
            </w:r>
          </w:p>
        </w:tc>
        <w:tc>
          <w:tcPr>
            <w:tcW w:w="6914" w:type="dxa"/>
            <w:vAlign w:val="center"/>
          </w:tcPr>
          <w:p w14:paraId="6ADBDB09">
            <w:pPr>
              <w:pStyle w:val="35"/>
              <w:keepLines w:val="0"/>
              <w:kinsoku/>
              <w:wordWrap/>
              <w:overflowPunct/>
              <w:topLinePunct w:val="0"/>
              <w:bidi w:val="0"/>
              <w:spacing w:line="240" w:lineRule="auto"/>
              <w:jc w:val="both"/>
              <w:rPr>
                <w:rFonts w:hint="default" w:eastAsia="宋体"/>
                <w:lang w:val="en-US" w:eastAsia="zh-CN"/>
              </w:rPr>
            </w:pPr>
            <w:r>
              <w:rPr>
                <w:rFonts w:hint="eastAsia"/>
                <w:lang w:val="en-US" w:eastAsia="zh-CN"/>
              </w:rPr>
              <w:t>节能服务公司具备对用能单位的能源利用、能源效率和能源管理等方面的诊断能力，通过诊断及时发现用能单位的节能潜力，并出具用能状况诊断报告。</w:t>
            </w:r>
          </w:p>
        </w:tc>
      </w:tr>
      <w:tr w14:paraId="35D49BE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1140" w:type="dxa"/>
            <w:vMerge w:val="continue"/>
            <w:vAlign w:val="center"/>
          </w:tcPr>
          <w:p w14:paraId="3B842CC8">
            <w:pPr>
              <w:pStyle w:val="35"/>
              <w:keepLines w:val="0"/>
              <w:kinsoku/>
              <w:wordWrap/>
              <w:overflowPunct/>
              <w:topLinePunct w:val="0"/>
              <w:bidi w:val="0"/>
              <w:spacing w:line="240" w:lineRule="auto"/>
              <w:jc w:val="center"/>
            </w:pPr>
          </w:p>
        </w:tc>
        <w:tc>
          <w:tcPr>
            <w:tcW w:w="1500" w:type="dxa"/>
            <w:vAlign w:val="center"/>
          </w:tcPr>
          <w:p w14:paraId="660EA4E9">
            <w:pPr>
              <w:pStyle w:val="35"/>
              <w:keepLines w:val="0"/>
              <w:kinsoku/>
              <w:wordWrap/>
              <w:overflowPunct/>
              <w:topLinePunct w:val="0"/>
              <w:bidi w:val="0"/>
              <w:spacing w:line="240" w:lineRule="auto"/>
              <w:jc w:val="center"/>
              <w:rPr>
                <w:rFonts w:hint="eastAsia" w:eastAsia="宋体"/>
                <w:lang w:val="en-US" w:eastAsia="zh-CN"/>
              </w:rPr>
            </w:pPr>
            <w:r>
              <w:rPr>
                <w:rFonts w:hint="eastAsia"/>
                <w:lang w:val="en-US" w:eastAsia="zh-CN"/>
              </w:rPr>
              <w:t>节能方案设计</w:t>
            </w:r>
          </w:p>
        </w:tc>
        <w:tc>
          <w:tcPr>
            <w:tcW w:w="6914" w:type="dxa"/>
            <w:vAlign w:val="center"/>
          </w:tcPr>
          <w:p w14:paraId="0F088014">
            <w:pPr>
              <w:pStyle w:val="35"/>
              <w:keepLines w:val="0"/>
              <w:kinsoku/>
              <w:wordWrap/>
              <w:overflowPunct/>
              <w:topLinePunct w:val="0"/>
              <w:bidi w:val="0"/>
              <w:spacing w:line="240" w:lineRule="auto"/>
              <w:jc w:val="both"/>
              <w:rPr>
                <w:rFonts w:hint="default" w:eastAsia="宋体"/>
                <w:lang w:val="en-US" w:eastAsia="zh-CN"/>
              </w:rPr>
            </w:pPr>
            <w:r>
              <w:rPr>
                <w:rFonts w:hint="eastAsia"/>
                <w:lang w:val="en-US" w:eastAsia="zh-CN"/>
              </w:rPr>
              <w:t>节</w:t>
            </w:r>
            <w:r>
              <w:rPr>
                <w:rFonts w:hint="eastAsia" w:ascii="Times New Roman" w:hAnsi="Times New Roman" w:eastAsia="宋体" w:cs="Times New Roman"/>
                <w:lang w:val="en-US" w:eastAsia="zh-CN"/>
              </w:rPr>
              <w:t>能服务公司应具备制定符合合同约定的专项或综合节能设计方案的能力。节能方案应满足相关标准规范要求，并具有技术可行性、经济合理性和保障措施。</w:t>
            </w:r>
          </w:p>
        </w:tc>
      </w:tr>
      <w:tr w14:paraId="11053D5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1140" w:type="dxa"/>
            <w:vMerge w:val="continue"/>
            <w:vAlign w:val="center"/>
          </w:tcPr>
          <w:p w14:paraId="269021DA">
            <w:pPr>
              <w:pStyle w:val="35"/>
              <w:keepLines w:val="0"/>
              <w:kinsoku/>
              <w:wordWrap/>
              <w:overflowPunct/>
              <w:topLinePunct w:val="0"/>
              <w:bidi w:val="0"/>
              <w:spacing w:line="240" w:lineRule="auto"/>
              <w:jc w:val="center"/>
            </w:pPr>
          </w:p>
        </w:tc>
        <w:tc>
          <w:tcPr>
            <w:tcW w:w="1500" w:type="dxa"/>
            <w:vAlign w:val="center"/>
          </w:tcPr>
          <w:p w14:paraId="55F6CAD5">
            <w:pPr>
              <w:pStyle w:val="35"/>
              <w:keepLines w:val="0"/>
              <w:kinsoku/>
              <w:wordWrap/>
              <w:overflowPunct/>
              <w:topLinePunct w:val="0"/>
              <w:bidi w:val="0"/>
              <w:spacing w:line="240" w:lineRule="auto"/>
              <w:jc w:val="center"/>
              <w:rPr>
                <w:rFonts w:hint="default" w:eastAsia="宋体"/>
                <w:lang w:val="en-US" w:eastAsia="zh-CN"/>
              </w:rPr>
            </w:pPr>
            <w:r>
              <w:rPr>
                <w:rFonts w:hint="eastAsia"/>
                <w:lang w:val="en-US" w:eastAsia="zh-CN"/>
              </w:rPr>
              <w:t>施工管理能力</w:t>
            </w:r>
          </w:p>
        </w:tc>
        <w:tc>
          <w:tcPr>
            <w:tcW w:w="6914" w:type="dxa"/>
            <w:vAlign w:val="center"/>
          </w:tcPr>
          <w:p w14:paraId="72D70337">
            <w:pPr>
              <w:pStyle w:val="35"/>
              <w:keepLines w:val="0"/>
              <w:kinsoku/>
              <w:wordWrap/>
              <w:overflowPunct/>
              <w:topLinePunct w:val="0"/>
              <w:bidi w:val="0"/>
              <w:spacing w:line="240" w:lineRule="auto"/>
              <w:jc w:val="both"/>
            </w:pPr>
            <w:r>
              <w:rPr>
                <w:rFonts w:hint="eastAsia" w:ascii="Times New Roman" w:hAnsi="Times New Roman" w:eastAsia="宋体" w:cs="Times New Roman"/>
                <w:lang w:val="en-US" w:eastAsia="zh-CN"/>
              </w:rPr>
              <w:t>节能服务公司应具备能源托管服务建设施工管理能力，或聘请具备施工资质的机构和人员提供。包括但不限于：施工前对项目现状（包括但不限于用能设备及系统）开展检查、确认的能力；评估施工单位在施工及后勤人员管理制度、设备验收流程、施工过程检查机制、定期沟通汇报体系等方面保障能力与完善程度的能力；如采取外包形式，应建立外包控制措施；建立竣工验收管理制度和文件等。</w:t>
            </w:r>
          </w:p>
        </w:tc>
      </w:tr>
      <w:tr w14:paraId="04A2258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1140" w:type="dxa"/>
            <w:vMerge w:val="continue"/>
            <w:vAlign w:val="center"/>
          </w:tcPr>
          <w:p w14:paraId="2B40D6BA">
            <w:pPr>
              <w:pStyle w:val="35"/>
              <w:keepLines w:val="0"/>
              <w:kinsoku/>
              <w:wordWrap/>
              <w:overflowPunct/>
              <w:topLinePunct w:val="0"/>
              <w:bidi w:val="0"/>
              <w:spacing w:line="240" w:lineRule="auto"/>
              <w:jc w:val="center"/>
            </w:pPr>
          </w:p>
        </w:tc>
        <w:tc>
          <w:tcPr>
            <w:tcW w:w="1500" w:type="dxa"/>
            <w:vAlign w:val="center"/>
          </w:tcPr>
          <w:p w14:paraId="12375DBD">
            <w:pPr>
              <w:pStyle w:val="35"/>
              <w:keepLines w:val="0"/>
              <w:kinsoku/>
              <w:wordWrap/>
              <w:overflowPunct/>
              <w:topLinePunct w:val="0"/>
              <w:bidi w:val="0"/>
              <w:spacing w:line="240" w:lineRule="auto"/>
              <w:jc w:val="center"/>
              <w:rPr>
                <w:rFonts w:hint="default" w:eastAsia="宋体"/>
                <w:lang w:val="en-US" w:eastAsia="zh-CN"/>
              </w:rPr>
            </w:pPr>
            <w:r>
              <w:rPr>
                <w:rFonts w:hint="eastAsia"/>
                <w:lang w:val="en-US" w:eastAsia="zh-CN"/>
              </w:rPr>
              <w:t>运行维护能力</w:t>
            </w:r>
          </w:p>
        </w:tc>
        <w:tc>
          <w:tcPr>
            <w:tcW w:w="6914" w:type="dxa"/>
            <w:vAlign w:val="center"/>
          </w:tcPr>
          <w:p w14:paraId="72C38023">
            <w:pPr>
              <w:pStyle w:val="35"/>
              <w:keepLines w:val="0"/>
              <w:kinsoku/>
              <w:wordWrap/>
              <w:overflowPunct/>
              <w:topLinePunct w:val="0"/>
              <w:bidi w:val="0"/>
              <w:spacing w:line="240" w:lineRule="auto"/>
              <w:jc w:val="both"/>
            </w:pPr>
            <w:r>
              <w:rPr>
                <w:rFonts w:ascii="Segoe UI" w:hAnsi="Segoe UI" w:eastAsia="Segoe UI" w:cs="Segoe UI"/>
                <w:i w:val="0"/>
                <w:iCs w:val="0"/>
                <w:caps w:val="0"/>
                <w:spacing w:val="0"/>
                <w:sz w:val="19"/>
                <w:szCs w:val="19"/>
                <w:shd w:val="clear" w:fill="FFFFFF"/>
              </w:rPr>
              <w:t>节能服务公司应具备</w:t>
            </w:r>
            <w:r>
              <w:rPr>
                <w:rFonts w:hint="eastAsia" w:ascii="Segoe UI" w:hAnsi="Segoe UI" w:cs="Segoe UI"/>
                <w:i w:val="0"/>
                <w:iCs w:val="0"/>
                <w:caps w:val="0"/>
                <w:spacing w:val="0"/>
                <w:sz w:val="19"/>
                <w:szCs w:val="19"/>
                <w:shd w:val="clear" w:fill="FFFFFF"/>
                <w:lang w:val="en-US" w:eastAsia="zh-CN"/>
              </w:rPr>
              <w:t>能源托管项目的运维服务能力，</w:t>
            </w:r>
            <w:r>
              <w:rPr>
                <w:rFonts w:ascii="Segoe UI" w:hAnsi="Segoe UI" w:eastAsia="Segoe UI" w:cs="Segoe UI"/>
                <w:i w:val="0"/>
                <w:iCs w:val="0"/>
                <w:caps w:val="0"/>
                <w:spacing w:val="0"/>
                <w:sz w:val="19"/>
                <w:szCs w:val="19"/>
                <w:shd w:val="clear" w:fill="FFFFFF"/>
              </w:rPr>
              <w:t>保障能源托管项目规范高效运行。</w:t>
            </w:r>
            <w:r>
              <w:rPr>
                <w:rFonts w:hint="eastAsia" w:ascii="Segoe UI" w:hAnsi="Segoe UI" w:cs="Segoe UI"/>
                <w:i w:val="0"/>
                <w:iCs w:val="0"/>
                <w:caps w:val="0"/>
                <w:spacing w:val="0"/>
                <w:sz w:val="19"/>
                <w:szCs w:val="19"/>
                <w:shd w:val="clear" w:fill="FFFFFF"/>
                <w:lang w:val="en-US" w:eastAsia="zh-CN"/>
              </w:rPr>
              <w:t>包括</w:t>
            </w:r>
            <w:r>
              <w:rPr>
                <w:rFonts w:ascii="Segoe UI Emoji" w:hAnsi="Segoe UI Emoji" w:eastAsia="Segoe UI Emoji" w:cs="Segoe UI Emoji"/>
                <w:i w:val="0"/>
                <w:iCs w:val="0"/>
                <w:caps w:val="0"/>
                <w:spacing w:val="0"/>
                <w:sz w:val="19"/>
                <w:szCs w:val="19"/>
              </w:rPr>
              <w:t>是否建立能源统计及分析、值班、巡回检查、设备维护保养、维修、定期运行分析等制度</w:t>
            </w:r>
            <w:r>
              <w:rPr>
                <w:rFonts w:hint="eastAsia" w:ascii="Segoe UI Emoji" w:hAnsi="Segoe UI Emoji" w:cs="Segoe UI Emoji"/>
                <w:i w:val="0"/>
                <w:iCs w:val="0"/>
                <w:caps w:val="0"/>
                <w:spacing w:val="0"/>
                <w:sz w:val="19"/>
                <w:szCs w:val="19"/>
                <w:lang w:eastAsia="zh-CN"/>
              </w:rPr>
              <w:t>；</w:t>
            </w:r>
            <w:r>
              <w:rPr>
                <w:rFonts w:hint="eastAsia" w:ascii="Segoe UI Emoji" w:hAnsi="Segoe UI Emoji" w:cs="Segoe UI Emoji"/>
                <w:i w:val="0"/>
                <w:iCs w:val="0"/>
                <w:caps w:val="0"/>
                <w:spacing w:val="0"/>
                <w:sz w:val="19"/>
                <w:szCs w:val="19"/>
                <w:lang w:val="en-US" w:eastAsia="zh-CN"/>
              </w:rPr>
              <w:t>是否建立运维人员能力培训、管理考核等制度。</w:t>
            </w:r>
          </w:p>
        </w:tc>
      </w:tr>
      <w:tr w14:paraId="5030412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1140" w:type="dxa"/>
            <w:vMerge w:val="continue"/>
            <w:vAlign w:val="center"/>
          </w:tcPr>
          <w:p w14:paraId="3CC73AED">
            <w:pPr>
              <w:pStyle w:val="35"/>
              <w:keepLines w:val="0"/>
              <w:kinsoku/>
              <w:wordWrap/>
              <w:overflowPunct/>
              <w:topLinePunct w:val="0"/>
              <w:bidi w:val="0"/>
              <w:spacing w:line="240" w:lineRule="auto"/>
              <w:jc w:val="center"/>
            </w:pPr>
          </w:p>
        </w:tc>
        <w:tc>
          <w:tcPr>
            <w:tcW w:w="1500" w:type="dxa"/>
            <w:vAlign w:val="center"/>
          </w:tcPr>
          <w:p w14:paraId="50DD704E">
            <w:pPr>
              <w:pStyle w:val="35"/>
              <w:keepLines w:val="0"/>
              <w:kinsoku/>
              <w:wordWrap/>
              <w:overflowPunct/>
              <w:topLinePunct w:val="0"/>
              <w:bidi w:val="0"/>
              <w:spacing w:line="240" w:lineRule="auto"/>
              <w:jc w:val="center"/>
              <w:rPr>
                <w:rFonts w:hint="default" w:eastAsia="宋体"/>
                <w:lang w:val="en-US" w:eastAsia="zh-CN"/>
              </w:rPr>
            </w:pPr>
            <w:r>
              <w:rPr>
                <w:rFonts w:hint="eastAsia"/>
                <w:lang w:val="en-US" w:eastAsia="zh-CN"/>
              </w:rPr>
              <w:t>项目移交</w:t>
            </w:r>
          </w:p>
        </w:tc>
        <w:tc>
          <w:tcPr>
            <w:tcW w:w="6914" w:type="dxa"/>
            <w:vAlign w:val="center"/>
          </w:tcPr>
          <w:p w14:paraId="10567550">
            <w:pPr>
              <w:pStyle w:val="35"/>
              <w:keepLines w:val="0"/>
              <w:kinsoku/>
              <w:wordWrap/>
              <w:overflowPunct/>
              <w:topLinePunct w:val="0"/>
              <w:bidi w:val="0"/>
              <w:spacing w:line="240" w:lineRule="auto"/>
              <w:jc w:val="both"/>
              <w:rPr>
                <w:rFonts w:hint="eastAsia" w:ascii="Segoe UI" w:hAnsi="Segoe UI" w:eastAsia="Segoe UI" w:cs="Segoe UI"/>
                <w:i w:val="0"/>
                <w:iCs w:val="0"/>
                <w:caps w:val="0"/>
                <w:spacing w:val="0"/>
                <w:sz w:val="19"/>
                <w:szCs w:val="19"/>
                <w:shd w:val="clear" w:fill="FFFFFF"/>
                <w:lang w:val="en-US" w:eastAsia="zh-CN"/>
              </w:rPr>
            </w:pPr>
            <w:r>
              <w:rPr>
                <w:rFonts w:hint="eastAsia" w:ascii="Segoe UI" w:hAnsi="Segoe UI" w:eastAsia="Segoe UI" w:cs="Segoe UI"/>
                <w:i w:val="0"/>
                <w:iCs w:val="0"/>
                <w:caps w:val="0"/>
                <w:spacing w:val="0"/>
                <w:sz w:val="19"/>
                <w:szCs w:val="19"/>
                <w:shd w:val="clear" w:fill="FFFFFF"/>
                <w:lang w:val="en-US" w:eastAsia="zh-CN"/>
              </w:rPr>
              <w:t>托管合同结束前1个月，节能服务公司应对托管范围内的用能系统或设备进行全面排查检修，保证用能系统或设备能正常运行；托管合同结束后，节能服务公司将托管范围内的设备设施无偿移交给用能单位，并对用能单位的相关人员开展培训。</w:t>
            </w:r>
          </w:p>
        </w:tc>
      </w:tr>
      <w:tr w14:paraId="6F046C2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1140" w:type="dxa"/>
            <w:vMerge w:val="restart"/>
            <w:vAlign w:val="center"/>
          </w:tcPr>
          <w:p w14:paraId="2658072B">
            <w:pPr>
              <w:pStyle w:val="35"/>
              <w:keepLines w:val="0"/>
              <w:kinsoku/>
              <w:wordWrap/>
              <w:overflowPunct/>
              <w:topLinePunct w:val="0"/>
              <w:bidi w:val="0"/>
              <w:spacing w:line="240" w:lineRule="auto"/>
              <w:jc w:val="center"/>
              <w:rPr>
                <w:rFonts w:hint="default" w:eastAsia="宋体"/>
                <w:lang w:val="en-US" w:eastAsia="zh-CN"/>
              </w:rPr>
            </w:pPr>
            <w:r>
              <w:rPr>
                <w:rFonts w:hint="eastAsia"/>
                <w:lang w:val="en-US" w:eastAsia="zh-CN"/>
              </w:rPr>
              <w:t>服务绩效</w:t>
            </w:r>
          </w:p>
        </w:tc>
        <w:tc>
          <w:tcPr>
            <w:tcW w:w="1500" w:type="dxa"/>
            <w:vAlign w:val="center"/>
          </w:tcPr>
          <w:p w14:paraId="1B7EE97C">
            <w:pPr>
              <w:pStyle w:val="35"/>
              <w:keepLines w:val="0"/>
              <w:kinsoku/>
              <w:wordWrap/>
              <w:overflowPunct/>
              <w:topLinePunct w:val="0"/>
              <w:bidi w:val="0"/>
              <w:spacing w:line="240" w:lineRule="auto"/>
              <w:jc w:val="center"/>
              <w:rPr>
                <w:rFonts w:hint="default" w:eastAsia="宋体"/>
                <w:lang w:val="en-US" w:eastAsia="zh-CN"/>
              </w:rPr>
            </w:pPr>
            <w:r>
              <w:rPr>
                <w:rFonts w:hint="eastAsia"/>
                <w:lang w:val="en-US" w:eastAsia="zh-CN"/>
              </w:rPr>
              <w:t>项目数量</w:t>
            </w:r>
          </w:p>
        </w:tc>
        <w:tc>
          <w:tcPr>
            <w:tcW w:w="6914" w:type="dxa"/>
            <w:vAlign w:val="center"/>
          </w:tcPr>
          <w:p w14:paraId="00E8B151">
            <w:pPr>
              <w:pStyle w:val="35"/>
              <w:keepLines w:val="0"/>
              <w:kinsoku/>
              <w:wordWrap/>
              <w:overflowPunct/>
              <w:topLinePunct w:val="0"/>
              <w:bidi w:val="0"/>
              <w:spacing w:line="240" w:lineRule="auto"/>
              <w:jc w:val="both"/>
              <w:rPr>
                <w:rFonts w:hint="default" w:eastAsia="宋体"/>
                <w:lang w:val="en-US" w:eastAsia="zh-CN"/>
              </w:rPr>
            </w:pPr>
            <w:r>
              <w:rPr>
                <w:rFonts w:hint="eastAsia"/>
                <w:lang w:val="en-US" w:eastAsia="zh-CN"/>
              </w:rPr>
              <w:t>节能服务公司应成功实施过一定数量的能源托管项目。</w:t>
            </w:r>
          </w:p>
        </w:tc>
      </w:tr>
      <w:tr w14:paraId="7FF1F12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1140" w:type="dxa"/>
            <w:vMerge w:val="continue"/>
            <w:vAlign w:val="center"/>
          </w:tcPr>
          <w:p w14:paraId="3377893B">
            <w:pPr>
              <w:pStyle w:val="35"/>
              <w:keepLines w:val="0"/>
              <w:kinsoku/>
              <w:wordWrap/>
              <w:overflowPunct/>
              <w:topLinePunct w:val="0"/>
              <w:bidi w:val="0"/>
              <w:spacing w:line="240" w:lineRule="auto"/>
              <w:jc w:val="center"/>
            </w:pPr>
          </w:p>
        </w:tc>
        <w:tc>
          <w:tcPr>
            <w:tcW w:w="1500" w:type="dxa"/>
            <w:vAlign w:val="center"/>
          </w:tcPr>
          <w:p w14:paraId="70A5C0A0">
            <w:pPr>
              <w:pStyle w:val="35"/>
              <w:keepLines w:val="0"/>
              <w:kinsoku/>
              <w:wordWrap/>
              <w:overflowPunct/>
              <w:topLinePunct w:val="0"/>
              <w:bidi w:val="0"/>
              <w:spacing w:line="240" w:lineRule="auto"/>
              <w:jc w:val="center"/>
              <w:rPr>
                <w:rFonts w:hint="eastAsia" w:eastAsia="宋体"/>
                <w:lang w:val="en-US" w:eastAsia="zh-CN"/>
              </w:rPr>
            </w:pPr>
            <w:r>
              <w:rPr>
                <w:rFonts w:hint="eastAsia"/>
                <w:lang w:val="en-US" w:eastAsia="zh-CN"/>
              </w:rPr>
              <w:t>客户满意度</w:t>
            </w:r>
          </w:p>
        </w:tc>
        <w:tc>
          <w:tcPr>
            <w:tcW w:w="6914" w:type="dxa"/>
            <w:vAlign w:val="center"/>
          </w:tcPr>
          <w:p w14:paraId="643E5D69">
            <w:pPr>
              <w:pStyle w:val="35"/>
              <w:keepLines w:val="0"/>
              <w:kinsoku/>
              <w:wordWrap/>
              <w:overflowPunct/>
              <w:topLinePunct w:val="0"/>
              <w:bidi w:val="0"/>
              <w:spacing w:line="240" w:lineRule="auto"/>
              <w:jc w:val="both"/>
              <w:rPr>
                <w:rFonts w:hint="eastAsia" w:ascii="Segoe UI" w:hAnsi="Segoe UI" w:eastAsia="Segoe UI" w:cs="Segoe UI"/>
                <w:i w:val="0"/>
                <w:iCs w:val="0"/>
                <w:caps w:val="0"/>
                <w:spacing w:val="0"/>
                <w:sz w:val="19"/>
                <w:szCs w:val="19"/>
                <w:shd w:val="clear" w:fill="FFFFFF"/>
                <w:lang w:val="en-US" w:eastAsia="zh-CN"/>
              </w:rPr>
            </w:pPr>
            <w:r>
              <w:rPr>
                <w:rFonts w:hint="eastAsia" w:ascii="Segoe UI" w:hAnsi="Segoe UI" w:eastAsia="Segoe UI" w:cs="Segoe UI"/>
                <w:i w:val="0"/>
                <w:iCs w:val="0"/>
                <w:caps w:val="0"/>
                <w:spacing w:val="0"/>
                <w:sz w:val="19"/>
                <w:szCs w:val="19"/>
                <w:shd w:val="clear" w:fill="FFFFFF"/>
                <w:lang w:val="en-US" w:eastAsia="zh-CN"/>
              </w:rPr>
              <w:t>客户对节能服务公司提供能源托管服务的总体满意度较高。</w:t>
            </w:r>
          </w:p>
        </w:tc>
      </w:tr>
      <w:tr w14:paraId="48D2D9F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1140" w:type="dxa"/>
            <w:vMerge w:val="continue"/>
            <w:vAlign w:val="center"/>
          </w:tcPr>
          <w:p w14:paraId="386D08DC">
            <w:pPr>
              <w:pStyle w:val="35"/>
              <w:keepLines w:val="0"/>
              <w:kinsoku/>
              <w:wordWrap/>
              <w:overflowPunct/>
              <w:topLinePunct w:val="0"/>
              <w:bidi w:val="0"/>
              <w:spacing w:line="240" w:lineRule="auto"/>
              <w:jc w:val="center"/>
            </w:pPr>
          </w:p>
        </w:tc>
        <w:tc>
          <w:tcPr>
            <w:tcW w:w="1500" w:type="dxa"/>
            <w:vAlign w:val="center"/>
          </w:tcPr>
          <w:p w14:paraId="0A4E255D">
            <w:pPr>
              <w:pStyle w:val="35"/>
              <w:keepLines w:val="0"/>
              <w:kinsoku/>
              <w:wordWrap/>
              <w:overflowPunct/>
              <w:topLinePunct w:val="0"/>
              <w:bidi w:val="0"/>
              <w:spacing w:line="240" w:lineRule="auto"/>
              <w:ind w:firstLine="0" w:firstLineChars="0"/>
              <w:jc w:val="center"/>
            </w:pPr>
            <w:r>
              <w:rPr>
                <w:rFonts w:hint="eastAsia"/>
                <w:lang w:val="en-US" w:eastAsia="zh-CN"/>
              </w:rPr>
              <w:t>节能效果</w:t>
            </w:r>
          </w:p>
        </w:tc>
        <w:tc>
          <w:tcPr>
            <w:tcW w:w="6914" w:type="dxa"/>
            <w:vAlign w:val="center"/>
          </w:tcPr>
          <w:p w14:paraId="51453EF2">
            <w:pPr>
              <w:pStyle w:val="35"/>
              <w:keepLines w:val="0"/>
              <w:kinsoku/>
              <w:wordWrap/>
              <w:overflowPunct/>
              <w:topLinePunct w:val="0"/>
              <w:bidi w:val="0"/>
              <w:spacing w:line="240" w:lineRule="auto"/>
              <w:ind w:firstLine="0" w:firstLineChars="0"/>
              <w:jc w:val="both"/>
              <w:rPr>
                <w:rFonts w:hint="default"/>
                <w:lang w:val="en-US"/>
              </w:rPr>
            </w:pPr>
            <w:r>
              <w:rPr>
                <w:rFonts w:hint="eastAsia" w:ascii="Segoe UI" w:hAnsi="Segoe UI" w:eastAsia="Segoe UI" w:cs="Segoe UI"/>
                <w:i w:val="0"/>
                <w:iCs w:val="0"/>
                <w:caps w:val="0"/>
                <w:spacing w:val="0"/>
                <w:sz w:val="19"/>
                <w:szCs w:val="19"/>
                <w:shd w:val="clear" w:fill="FFFFFF"/>
                <w:lang w:val="en-US" w:eastAsia="zh-CN"/>
              </w:rPr>
              <w:t>节能服务公司应提供满足合同约定的设备和服务，节能量达到合同要求。</w:t>
            </w:r>
          </w:p>
        </w:tc>
      </w:tr>
      <w:tr w14:paraId="4F4C11D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1140" w:type="dxa"/>
            <w:vMerge w:val="continue"/>
            <w:vAlign w:val="center"/>
          </w:tcPr>
          <w:p w14:paraId="5F0DCEFD">
            <w:pPr>
              <w:pStyle w:val="35"/>
              <w:keepLines w:val="0"/>
              <w:kinsoku/>
              <w:wordWrap/>
              <w:overflowPunct/>
              <w:topLinePunct w:val="0"/>
              <w:bidi w:val="0"/>
              <w:spacing w:line="240" w:lineRule="auto"/>
              <w:jc w:val="center"/>
            </w:pPr>
          </w:p>
        </w:tc>
        <w:tc>
          <w:tcPr>
            <w:tcW w:w="1500" w:type="dxa"/>
            <w:vAlign w:val="center"/>
          </w:tcPr>
          <w:p w14:paraId="1A178B4B">
            <w:pPr>
              <w:pStyle w:val="35"/>
              <w:keepLines w:val="0"/>
              <w:kinsoku/>
              <w:wordWrap/>
              <w:overflowPunct/>
              <w:topLinePunct w:val="0"/>
              <w:bidi w:val="0"/>
              <w:spacing w:line="240" w:lineRule="auto"/>
              <w:ind w:firstLine="0" w:firstLineChars="0"/>
              <w:jc w:val="center"/>
            </w:pPr>
            <w:r>
              <w:rPr>
                <w:rFonts w:hint="default" w:ascii="Times New Roman" w:hAnsi="Times New Roman" w:eastAsia="宋体" w:cs="Times New Roman"/>
                <w:lang w:val="en-US" w:eastAsia="zh-CN"/>
              </w:rPr>
              <w:t>运维响应时效</w:t>
            </w:r>
          </w:p>
        </w:tc>
        <w:tc>
          <w:tcPr>
            <w:tcW w:w="6914" w:type="dxa"/>
            <w:vAlign w:val="center"/>
          </w:tcPr>
          <w:p w14:paraId="19024143">
            <w:pPr>
              <w:pStyle w:val="35"/>
              <w:keepLines w:val="0"/>
              <w:kinsoku/>
              <w:wordWrap/>
              <w:overflowPunct/>
              <w:topLinePunct w:val="0"/>
              <w:bidi w:val="0"/>
              <w:spacing w:line="240" w:lineRule="auto"/>
              <w:ind w:firstLine="0" w:firstLineChars="0"/>
              <w:jc w:val="both"/>
              <w:rPr>
                <w:rFonts w:hint="eastAsia" w:ascii="Segoe UI" w:hAnsi="Segoe UI" w:eastAsia="Segoe UI" w:cs="Segoe UI"/>
                <w:i w:val="0"/>
                <w:iCs w:val="0"/>
                <w:caps w:val="0"/>
                <w:spacing w:val="0"/>
                <w:sz w:val="19"/>
                <w:szCs w:val="19"/>
                <w:shd w:val="clear" w:fill="FFFFFF"/>
                <w:lang w:val="en-US" w:eastAsia="zh-CN"/>
              </w:rPr>
            </w:pPr>
            <w:r>
              <w:rPr>
                <w:rFonts w:hint="default" w:ascii="Segoe UI" w:hAnsi="Segoe UI" w:eastAsia="Segoe UI" w:cs="Segoe UI"/>
                <w:i w:val="0"/>
                <w:iCs w:val="0"/>
                <w:caps w:val="0"/>
                <w:spacing w:val="0"/>
                <w:sz w:val="19"/>
                <w:szCs w:val="19"/>
                <w:shd w:val="clear" w:fill="FFFFFF"/>
                <w:lang w:val="en-US" w:eastAsia="zh-CN"/>
              </w:rPr>
              <w:t>节能服务公司针对</w:t>
            </w:r>
            <w:r>
              <w:rPr>
                <w:rFonts w:hint="eastAsia" w:ascii="Segoe UI" w:hAnsi="Segoe UI" w:eastAsia="Segoe UI" w:cs="Segoe UI"/>
                <w:i w:val="0"/>
                <w:iCs w:val="0"/>
                <w:caps w:val="0"/>
                <w:spacing w:val="0"/>
                <w:sz w:val="19"/>
                <w:szCs w:val="19"/>
                <w:shd w:val="clear" w:fill="FFFFFF"/>
                <w:lang w:val="en-US" w:eastAsia="zh-CN"/>
              </w:rPr>
              <w:t>能源</w:t>
            </w:r>
            <w:r>
              <w:rPr>
                <w:rFonts w:hint="default" w:ascii="Segoe UI" w:hAnsi="Segoe UI" w:eastAsia="Segoe UI" w:cs="Segoe UI"/>
                <w:i w:val="0"/>
                <w:iCs w:val="0"/>
                <w:caps w:val="0"/>
                <w:spacing w:val="0"/>
                <w:sz w:val="19"/>
                <w:szCs w:val="19"/>
                <w:shd w:val="clear" w:fill="FFFFFF"/>
                <w:lang w:val="en-US" w:eastAsia="zh-CN"/>
              </w:rPr>
              <w:t>托管项目的设备故障、运维需求，需在约定时限内响应并处置，保障用能系统稳定运行。</w:t>
            </w:r>
          </w:p>
        </w:tc>
      </w:tr>
      <w:tr w14:paraId="57AF2A7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1140" w:type="dxa"/>
            <w:vMerge w:val="continue"/>
            <w:vAlign w:val="center"/>
          </w:tcPr>
          <w:p w14:paraId="08725923">
            <w:pPr>
              <w:pStyle w:val="35"/>
              <w:keepLines w:val="0"/>
              <w:kinsoku/>
              <w:wordWrap/>
              <w:overflowPunct/>
              <w:topLinePunct w:val="0"/>
              <w:bidi w:val="0"/>
              <w:spacing w:line="240" w:lineRule="auto"/>
              <w:jc w:val="center"/>
            </w:pPr>
          </w:p>
        </w:tc>
        <w:tc>
          <w:tcPr>
            <w:tcW w:w="1500" w:type="dxa"/>
            <w:vAlign w:val="center"/>
          </w:tcPr>
          <w:p w14:paraId="05CB71F6">
            <w:pPr>
              <w:pStyle w:val="35"/>
              <w:keepLines w:val="0"/>
              <w:kinsoku/>
              <w:wordWrap/>
              <w:overflowPunct/>
              <w:topLinePunct w:val="0"/>
              <w:bidi w:val="0"/>
              <w:spacing w:line="240" w:lineRule="auto"/>
              <w:jc w:val="center"/>
              <w:rPr>
                <w:rFonts w:hint="eastAsia" w:eastAsia="宋体"/>
                <w:lang w:val="en-US" w:eastAsia="zh-CN"/>
              </w:rPr>
            </w:pPr>
            <w:r>
              <w:rPr>
                <w:rFonts w:hint="eastAsia"/>
                <w:lang w:val="en-US" w:eastAsia="zh-CN"/>
              </w:rPr>
              <w:t>信誉度</w:t>
            </w:r>
          </w:p>
        </w:tc>
        <w:tc>
          <w:tcPr>
            <w:tcW w:w="6914" w:type="dxa"/>
            <w:vAlign w:val="center"/>
          </w:tcPr>
          <w:p w14:paraId="73968157">
            <w:pPr>
              <w:pStyle w:val="35"/>
              <w:keepLines w:val="0"/>
              <w:kinsoku/>
              <w:wordWrap/>
              <w:overflowPunct/>
              <w:topLinePunct w:val="0"/>
              <w:bidi w:val="0"/>
              <w:spacing w:line="240" w:lineRule="auto"/>
              <w:jc w:val="both"/>
              <w:rPr>
                <w:rFonts w:hint="default" w:eastAsia="宋体"/>
                <w:lang w:val="en-US" w:eastAsia="zh-CN"/>
              </w:rPr>
            </w:pPr>
            <w:r>
              <w:rPr>
                <w:rFonts w:hint="eastAsia"/>
                <w:lang w:val="en-US" w:eastAsia="zh-CN"/>
              </w:rPr>
              <w:t>节能服务公司应合法、诚信经营，具备较好的企业信用，无重大处罚记录。</w:t>
            </w:r>
          </w:p>
        </w:tc>
      </w:tr>
    </w:tbl>
    <w:p w14:paraId="3EBB116B">
      <w:pPr>
        <w:pStyle w:val="14"/>
        <w:keepLines w:val="0"/>
        <w:kinsoku/>
        <w:wordWrap/>
        <w:overflowPunct/>
        <w:topLinePunct w:val="0"/>
        <w:bidi w:val="0"/>
        <w:spacing w:before="240" w:after="240" w:line="240" w:lineRule="auto"/>
        <w:ind w:left="0"/>
        <w:rPr>
          <w:rFonts w:hint="default"/>
          <w:szCs w:val="21"/>
          <w:lang w:val="en-US" w:eastAsia="zh-CN"/>
        </w:rPr>
      </w:pPr>
      <w:bookmarkStart w:id="36" w:name="_Toc12023"/>
      <w:r>
        <w:rPr>
          <w:rFonts w:hint="eastAsia"/>
          <w:szCs w:val="21"/>
          <w:lang w:val="en-US" w:eastAsia="zh-CN"/>
        </w:rPr>
        <w:t>评价实施</w:t>
      </w:r>
      <w:bookmarkEnd w:id="35"/>
      <w:bookmarkEnd w:id="36"/>
    </w:p>
    <w:p w14:paraId="18ADA8C4">
      <w:pPr>
        <w:pStyle w:val="17"/>
        <w:keepLines w:val="0"/>
        <w:kinsoku/>
        <w:wordWrap/>
        <w:overflowPunct/>
        <w:topLinePunct w:val="0"/>
        <w:bidi w:val="0"/>
        <w:spacing w:line="240" w:lineRule="auto"/>
        <w:ind w:left="0" w:leftChars="0" w:firstLine="0" w:firstLineChars="0"/>
        <w:rPr>
          <w:rFonts w:hint="default" w:ascii="Times New Roman" w:hAnsi="Times New Roman" w:cs="Times New Roman" w:eastAsiaTheme="minorEastAsia"/>
          <w:lang w:val="en-US" w:eastAsia="zh-CN"/>
        </w:rPr>
      </w:pPr>
      <w:bookmarkStart w:id="37" w:name="_Toc11089"/>
      <w:r>
        <w:rPr>
          <w:rFonts w:hint="default" w:ascii="Times New Roman" w:hAnsi="Times New Roman" w:cs="Times New Roman" w:eastAsiaTheme="minorEastAsia"/>
          <w:lang w:val="en-US" w:eastAsia="zh-CN"/>
        </w:rPr>
        <w:t>开展能源费用托管服务评价时</w:t>
      </w:r>
      <w:r>
        <w:rPr>
          <w:rFonts w:hint="eastAsia" w:ascii="Times New Roman" w:hAnsi="Times New Roman" w:cs="Times New Roman" w:eastAsiaTheme="minorEastAsia"/>
          <w:lang w:val="en-US" w:eastAsia="zh-CN"/>
        </w:rPr>
        <w:t>，</w:t>
      </w:r>
      <w:r>
        <w:rPr>
          <w:rFonts w:hint="default" w:ascii="Times New Roman" w:hAnsi="Times New Roman" w:cs="Times New Roman" w:eastAsiaTheme="minorEastAsia"/>
          <w:lang w:val="en-US" w:eastAsia="zh-CN"/>
        </w:rPr>
        <w:t>应依据本</w:t>
      </w:r>
      <w:r>
        <w:rPr>
          <w:rFonts w:hint="eastAsia" w:ascii="Times New Roman" w:hAnsi="Times New Roman" w:cs="Times New Roman" w:eastAsiaTheme="minorEastAsia"/>
          <w:lang w:val="en-US" w:eastAsia="zh-CN"/>
        </w:rPr>
        <w:t>文件</w:t>
      </w:r>
      <w:r>
        <w:rPr>
          <w:rFonts w:hint="default" w:ascii="Times New Roman" w:hAnsi="Times New Roman" w:cs="Times New Roman" w:eastAsiaTheme="minorEastAsia"/>
          <w:lang w:val="en-US" w:eastAsia="zh-CN"/>
        </w:rPr>
        <w:t>提出的评价原则和评价内容</w:t>
      </w:r>
      <w:r>
        <w:rPr>
          <w:rFonts w:hint="eastAsia" w:ascii="Times New Roman" w:hAnsi="Times New Roman" w:cs="Times New Roman" w:eastAsiaTheme="minorEastAsia"/>
          <w:lang w:val="en-US" w:eastAsia="zh-CN"/>
        </w:rPr>
        <w:t>，</w:t>
      </w:r>
      <w:r>
        <w:rPr>
          <w:rFonts w:hint="default" w:ascii="Times New Roman" w:hAnsi="Times New Roman" w:cs="Times New Roman" w:eastAsiaTheme="minorEastAsia"/>
          <w:lang w:val="en-US" w:eastAsia="zh-CN"/>
        </w:rPr>
        <w:t>结合能源费用托管服务的专业类别、客户需求、实施模式等特点</w:t>
      </w:r>
      <w:r>
        <w:rPr>
          <w:rFonts w:hint="eastAsia" w:ascii="Times New Roman" w:hAnsi="Times New Roman" w:cs="Times New Roman" w:eastAsiaTheme="minorEastAsia"/>
          <w:lang w:val="en-US" w:eastAsia="zh-CN"/>
        </w:rPr>
        <w:t>，</w:t>
      </w:r>
      <w:r>
        <w:rPr>
          <w:rFonts w:hint="default" w:ascii="Times New Roman" w:hAnsi="Times New Roman" w:cs="Times New Roman" w:eastAsiaTheme="minorEastAsia"/>
          <w:lang w:val="en-US" w:eastAsia="zh-CN"/>
        </w:rPr>
        <w:t>制定</w:t>
      </w:r>
      <w:r>
        <w:rPr>
          <w:rFonts w:hint="eastAsia" w:ascii="Times New Roman" w:hAnsi="Times New Roman" w:cs="Times New Roman" w:eastAsiaTheme="minorEastAsia"/>
          <w:lang w:val="en-US" w:eastAsia="zh-CN"/>
        </w:rPr>
        <w:t>更</w:t>
      </w:r>
      <w:r>
        <w:rPr>
          <w:rFonts w:hint="default" w:ascii="Times New Roman" w:hAnsi="Times New Roman" w:cs="Times New Roman" w:eastAsiaTheme="minorEastAsia"/>
          <w:lang w:val="en-US" w:eastAsia="zh-CN"/>
        </w:rPr>
        <w:t>有针对性的评价标准或规范。评价标准或规范应包括详细的评价要求、评价指标体系、指标权重、指标赋值办法等。评价标准或规范应为公开可获得的文件。</w:t>
      </w:r>
      <w:bookmarkEnd w:id="37"/>
    </w:p>
    <w:p w14:paraId="12D18E6D">
      <w:pPr>
        <w:pStyle w:val="17"/>
        <w:keepLines w:val="0"/>
        <w:kinsoku/>
        <w:wordWrap/>
        <w:overflowPunct/>
        <w:topLinePunct w:val="0"/>
        <w:bidi w:val="0"/>
        <w:spacing w:line="240" w:lineRule="auto"/>
        <w:ind w:left="0" w:leftChars="0" w:firstLine="0" w:firstLineChars="0"/>
        <w:rPr>
          <w:rFonts w:hint="default" w:ascii="Times New Roman" w:hAnsi="Times New Roman" w:cs="Times New Roman" w:eastAsiaTheme="minorEastAsia"/>
          <w:lang w:val="en-US" w:eastAsia="zh-CN"/>
        </w:rPr>
      </w:pPr>
      <w:bookmarkStart w:id="38" w:name="_Toc11471"/>
      <w:r>
        <w:rPr>
          <w:rFonts w:hint="default" w:ascii="Times New Roman" w:hAnsi="Times New Roman" w:cs="Times New Roman" w:eastAsiaTheme="minorEastAsia"/>
          <w:lang w:val="en-US" w:eastAsia="zh-CN"/>
        </w:rPr>
        <w:t>评价应</w:t>
      </w:r>
      <w:r>
        <w:rPr>
          <w:rFonts w:hint="eastAsia" w:ascii="Times New Roman" w:cs="Times New Roman" w:eastAsiaTheme="minorEastAsia"/>
          <w:lang w:val="en-US" w:eastAsia="zh-CN"/>
        </w:rPr>
        <w:t>制定</w:t>
      </w:r>
      <w:r>
        <w:rPr>
          <w:rFonts w:hint="default" w:ascii="Times New Roman" w:hAnsi="Times New Roman" w:cs="Times New Roman" w:eastAsiaTheme="minorEastAsia"/>
          <w:lang w:val="en-US" w:eastAsia="zh-CN"/>
        </w:rPr>
        <w:t>计划</w:t>
      </w:r>
      <w:r>
        <w:rPr>
          <w:rFonts w:hint="eastAsia" w:ascii="Times New Roman" w:cs="Times New Roman" w:eastAsiaTheme="minorEastAsia"/>
          <w:lang w:val="en-US" w:eastAsia="zh-CN"/>
        </w:rPr>
        <w:t>，</w:t>
      </w:r>
      <w:r>
        <w:rPr>
          <w:rFonts w:hint="default" w:ascii="Times New Roman" w:hAnsi="Times New Roman" w:cs="Times New Roman" w:eastAsiaTheme="minorEastAsia"/>
          <w:lang w:val="en-US" w:eastAsia="zh-CN"/>
        </w:rPr>
        <w:t>计划中宜包括评价目的、评价范围、评价依据、评价人员、进度安排、评价内容、评价方式、评价结果的形式等。</w:t>
      </w:r>
      <w:bookmarkEnd w:id="38"/>
    </w:p>
    <w:p w14:paraId="364AFE6D">
      <w:pPr>
        <w:pStyle w:val="17"/>
        <w:keepLines w:val="0"/>
        <w:kinsoku/>
        <w:wordWrap/>
        <w:overflowPunct/>
        <w:topLinePunct w:val="0"/>
        <w:bidi w:val="0"/>
        <w:spacing w:line="240" w:lineRule="auto"/>
        <w:ind w:left="0" w:leftChars="0" w:firstLine="0" w:firstLineChars="0"/>
        <w:rPr>
          <w:rFonts w:hint="default" w:ascii="Times New Roman" w:hAnsi="Times New Roman" w:cs="Times New Roman" w:eastAsiaTheme="minorEastAsia"/>
          <w:lang w:val="en-US" w:eastAsia="zh-CN"/>
        </w:rPr>
      </w:pPr>
      <w:bookmarkStart w:id="39" w:name="_Toc19813"/>
      <w:r>
        <w:rPr>
          <w:rFonts w:hint="default" w:ascii="Times New Roman" w:hAnsi="Times New Roman" w:cs="Times New Roman" w:eastAsiaTheme="minorEastAsia"/>
          <w:lang w:val="en-US" w:eastAsia="zh-CN"/>
        </w:rPr>
        <w:t>评价方式包括但不限于文件资料和记录查阅</w:t>
      </w:r>
      <w:r>
        <w:rPr>
          <w:rFonts w:hint="eastAsia" w:ascii="Times New Roman" w:cs="Times New Roman" w:eastAsiaTheme="minorEastAsia"/>
          <w:lang w:val="en-US" w:eastAsia="zh-CN"/>
        </w:rPr>
        <w:t>，</w:t>
      </w:r>
      <w:r>
        <w:rPr>
          <w:rFonts w:hint="default" w:ascii="Times New Roman" w:hAnsi="Times New Roman" w:cs="Times New Roman" w:eastAsiaTheme="minorEastAsia"/>
          <w:lang w:val="en-US" w:eastAsia="zh-CN"/>
        </w:rPr>
        <w:t>项目人员询问、现场观察、档案调阅</w:t>
      </w:r>
      <w:r>
        <w:rPr>
          <w:rFonts w:hint="eastAsia" w:ascii="Times New Roman" w:cs="Times New Roman" w:eastAsiaTheme="minorEastAsia"/>
          <w:lang w:val="en-US" w:eastAsia="zh-CN"/>
        </w:rPr>
        <w:t>，</w:t>
      </w:r>
      <w:r>
        <w:rPr>
          <w:rFonts w:hint="default" w:ascii="Times New Roman" w:hAnsi="Times New Roman" w:cs="Times New Roman" w:eastAsiaTheme="minorEastAsia"/>
          <w:lang w:val="en-US" w:eastAsia="zh-CN"/>
        </w:rPr>
        <w:t>项目抽样审查</w:t>
      </w:r>
      <w:r>
        <w:rPr>
          <w:rFonts w:hint="eastAsia" w:ascii="Times New Roman" w:cs="Times New Roman" w:eastAsiaTheme="minorEastAsia"/>
          <w:lang w:val="en-US" w:eastAsia="zh-CN"/>
        </w:rPr>
        <w:t>、</w:t>
      </w:r>
      <w:r>
        <w:rPr>
          <w:rFonts w:hint="default" w:ascii="Times New Roman" w:hAnsi="Times New Roman" w:cs="Times New Roman" w:eastAsiaTheme="minorEastAsia"/>
          <w:lang w:val="en-US" w:eastAsia="zh-CN"/>
        </w:rPr>
        <w:t>客户及相关方访谈、问卷调查等。</w:t>
      </w:r>
      <w:bookmarkEnd w:id="39"/>
    </w:p>
    <w:p w14:paraId="30293AA8">
      <w:pPr>
        <w:pStyle w:val="17"/>
        <w:keepLines w:val="0"/>
        <w:kinsoku/>
        <w:wordWrap/>
        <w:overflowPunct/>
        <w:topLinePunct w:val="0"/>
        <w:bidi w:val="0"/>
        <w:spacing w:line="240" w:lineRule="auto"/>
        <w:ind w:left="0" w:leftChars="0" w:firstLine="0" w:firstLineChars="0"/>
        <w:rPr>
          <w:rFonts w:hint="eastAsia" w:ascii="Times New Roman" w:hAnsi="Times New Roman" w:cs="Times New Roman" w:eastAsiaTheme="minorEastAsia"/>
          <w:lang w:val="en-US" w:eastAsia="zh-CN"/>
        </w:rPr>
      </w:pPr>
      <w:bookmarkStart w:id="40" w:name="_Toc8801"/>
      <w:r>
        <w:rPr>
          <w:rFonts w:hint="default" w:ascii="Times New Roman" w:hAnsi="Times New Roman" w:cs="Times New Roman" w:eastAsiaTheme="minorEastAsia"/>
          <w:lang w:val="en-US" w:eastAsia="zh-CN"/>
        </w:rPr>
        <w:t>评价结果的形式宜综合考虑服务能力、服务过程、服务绩效三个维度的评价指标</w:t>
      </w:r>
      <w:r>
        <w:rPr>
          <w:rFonts w:hint="eastAsia" w:ascii="Times New Roman" w:cs="Times New Roman" w:eastAsiaTheme="minorEastAsia"/>
          <w:lang w:val="en-US" w:eastAsia="zh-CN"/>
        </w:rPr>
        <w:t>，</w:t>
      </w:r>
      <w:r>
        <w:rPr>
          <w:rFonts w:hint="default" w:ascii="Times New Roman" w:hAnsi="Times New Roman" w:cs="Times New Roman" w:eastAsiaTheme="minorEastAsia"/>
          <w:lang w:val="en-US" w:eastAsia="zh-CN"/>
        </w:rPr>
        <w:t>以综合性评价指标来反映</w:t>
      </w:r>
      <w:r>
        <w:rPr>
          <w:rFonts w:hint="eastAsia" w:ascii="Times New Roman" w:cs="Times New Roman" w:eastAsiaTheme="minorEastAsia"/>
          <w:lang w:val="en-US" w:eastAsia="zh-CN"/>
        </w:rPr>
        <w:t>能源托管</w:t>
      </w:r>
      <w:r>
        <w:rPr>
          <w:rFonts w:hint="default" w:ascii="Times New Roman" w:hAnsi="Times New Roman" w:cs="Times New Roman" w:eastAsiaTheme="minorEastAsia"/>
          <w:lang w:val="en-US" w:eastAsia="zh-CN"/>
        </w:rPr>
        <w:t>服务水平。也可根据评价目的和需求</w:t>
      </w:r>
      <w:r>
        <w:rPr>
          <w:rFonts w:hint="eastAsia" w:ascii="Times New Roman" w:cs="Times New Roman" w:eastAsiaTheme="minorEastAsia"/>
          <w:lang w:val="en-US" w:eastAsia="zh-CN"/>
        </w:rPr>
        <w:t>，</w:t>
      </w:r>
      <w:r>
        <w:rPr>
          <w:rFonts w:hint="default" w:ascii="Times New Roman" w:hAnsi="Times New Roman" w:cs="Times New Roman" w:eastAsiaTheme="minorEastAsia"/>
          <w:lang w:val="en-US" w:eastAsia="zh-CN"/>
        </w:rPr>
        <w:t>对服务能力、服务过程或服务绩效得出单独的评价结果。可用不同级别来表示评价结果</w:t>
      </w:r>
      <w:r>
        <w:rPr>
          <w:rFonts w:hint="eastAsia" w:ascii="Times New Roman" w:hAnsi="Times New Roman" w:cs="Times New Roman" w:eastAsiaTheme="minorEastAsia"/>
          <w:lang w:val="en-US" w:eastAsia="zh-CN"/>
        </w:rPr>
        <w:t>。</w:t>
      </w:r>
      <w:bookmarkEnd w:id="40"/>
    </w:p>
    <w:p w14:paraId="48D7CA6B">
      <w:pPr>
        <w:pStyle w:val="14"/>
        <w:keepLines w:val="0"/>
        <w:kinsoku/>
        <w:wordWrap/>
        <w:overflowPunct/>
        <w:topLinePunct w:val="0"/>
        <w:bidi w:val="0"/>
        <w:spacing w:before="240" w:after="240" w:line="240" w:lineRule="auto"/>
        <w:ind w:left="0"/>
        <w:rPr>
          <w:rFonts w:hint="default"/>
          <w:szCs w:val="21"/>
          <w:lang w:val="en-US" w:eastAsia="zh-CN"/>
        </w:rPr>
      </w:pPr>
      <w:bookmarkStart w:id="41" w:name="_Toc7791"/>
      <w:bookmarkStart w:id="42" w:name="_Toc9188"/>
      <w:r>
        <w:rPr>
          <w:rFonts w:hint="eastAsia"/>
          <w:szCs w:val="21"/>
          <w:lang w:val="en-US" w:eastAsia="zh-CN"/>
        </w:rPr>
        <w:t>评价结果</w:t>
      </w:r>
      <w:bookmarkEnd w:id="41"/>
      <w:bookmarkEnd w:id="42"/>
    </w:p>
    <w:p w14:paraId="6AC46384">
      <w:pPr>
        <w:pStyle w:val="17"/>
        <w:keepLines w:val="0"/>
        <w:kinsoku/>
        <w:wordWrap/>
        <w:overflowPunct/>
        <w:topLinePunct w:val="0"/>
        <w:bidi w:val="0"/>
        <w:spacing w:line="240" w:lineRule="auto"/>
        <w:ind w:left="0" w:leftChars="0" w:firstLine="0" w:firstLineChars="0"/>
        <w:rPr>
          <w:rFonts w:hint="default"/>
          <w:lang w:val="en-US" w:eastAsia="zh-CN"/>
        </w:rPr>
      </w:pPr>
      <w:bookmarkStart w:id="43" w:name="_Toc22897"/>
      <w:r>
        <w:rPr>
          <w:rFonts w:hint="eastAsia"/>
          <w:lang w:val="en-US" w:eastAsia="zh-CN"/>
        </w:rPr>
        <w:t>评价</w:t>
      </w:r>
      <w:bookmarkEnd w:id="43"/>
      <w:r>
        <w:rPr>
          <w:rFonts w:hint="eastAsia"/>
          <w:lang w:val="en-US" w:eastAsia="zh-CN"/>
        </w:rPr>
        <w:t>结果的计算</w:t>
      </w:r>
    </w:p>
    <w:p w14:paraId="6D4DB327">
      <w:pPr>
        <w:pStyle w:val="15"/>
        <w:keepLines w:val="0"/>
        <w:kinsoku/>
        <w:wordWrap/>
        <w:overflowPunct/>
        <w:topLinePunct w:val="0"/>
        <w:bidi w:val="0"/>
        <w:spacing w:line="240" w:lineRule="auto"/>
        <w:rPr>
          <w:rFonts w:hint="eastAsia"/>
          <w:lang w:val="en-US" w:eastAsia="zh-CN"/>
        </w:rPr>
      </w:pPr>
      <w:r>
        <w:rPr>
          <w:rFonts w:hint="eastAsia"/>
          <w:lang w:val="en-US" w:eastAsia="zh-CN"/>
        </w:rPr>
        <w:t>按公式（1）计算能源费用托管服务的评价结果。</w:t>
      </w:r>
    </w:p>
    <w:p w14:paraId="56034307">
      <w:pPr>
        <w:pStyle w:val="36"/>
        <w:keepLines w:val="0"/>
        <w:kinsoku/>
        <w:wordWrap/>
        <w:overflowPunct/>
        <w:topLinePunct w:val="0"/>
        <w:bidi w:val="0"/>
        <w:spacing w:line="240" w:lineRule="auto"/>
        <w:rPr>
          <w:rFonts w:hint="eastAsia"/>
          <w:lang w:eastAsia="zh-CN"/>
        </w:rPr>
      </w:pPr>
      <w:r>
        <w:rPr>
          <w:rFonts w:hint="eastAsia"/>
          <w:lang w:eastAsia="zh-CN"/>
        </w:rPr>
        <w:tab/>
      </w:r>
      <m:oMath>
        <m:r>
          <m:rPr/>
          <w:rPr>
            <w:rFonts w:hint="default" w:ascii="Cambria Math" w:hAnsi="Cambria Math" w:cs="Times New Roman"/>
            <w:kern w:val="2"/>
            <w:sz w:val="21"/>
            <w:szCs w:val="21"/>
            <w:lang w:val="en-US" w:eastAsia="zh-CN" w:bidi="ar-SA"/>
          </w:rPr>
          <m:t>S</m:t>
        </m:r>
        <m:r>
          <m:rPr/>
          <w:rPr>
            <w:rFonts w:hint="eastAsia" w:ascii="Cambria Math" w:hAnsi="Cambria Math" w:cs="Times New Roman"/>
            <w:kern w:val="2"/>
            <w:sz w:val="21"/>
            <w:szCs w:val="21"/>
            <w:lang w:val="en-US" w:eastAsia="zh-CN" w:bidi="ar-SA"/>
          </w:rPr>
          <m:t>=</m:t>
        </m:r>
        <m:sSub>
          <m:sSubPr>
            <m:ctrlPr>
              <w:rPr>
                <w:rFonts w:hint="eastAsia" w:ascii="Cambria Math" w:hAnsi="Cambria Math" w:cs="Times New Roman"/>
                <w:i/>
                <w:kern w:val="2"/>
                <w:sz w:val="21"/>
                <w:szCs w:val="21"/>
                <w:lang w:val="en-US" w:eastAsia="zh-CN" w:bidi="ar-SA"/>
              </w:rPr>
            </m:ctrlPr>
          </m:sSubPr>
          <m:e>
            <m:r>
              <m:rPr/>
              <w:rPr>
                <w:rFonts w:hint="default" w:ascii="Cambria Math" w:hAnsi="Cambria Math" w:cs="Times New Roman"/>
                <w:kern w:val="2"/>
                <w:sz w:val="21"/>
                <w:szCs w:val="21"/>
                <w:lang w:val="en-US" w:eastAsia="zh-CN" w:bidi="ar-SA"/>
              </w:rPr>
              <m:t>P</m:t>
            </m:r>
            <m:ctrlPr>
              <w:rPr>
                <w:rFonts w:hint="eastAsia" w:ascii="Cambria Math" w:hAnsi="Cambria Math" w:cs="Times New Roman"/>
                <w:i/>
                <w:kern w:val="2"/>
                <w:sz w:val="21"/>
                <w:szCs w:val="21"/>
                <w:lang w:val="en-US" w:eastAsia="zh-CN" w:bidi="ar-SA"/>
              </w:rPr>
            </m:ctrlPr>
          </m:e>
          <m:sub>
            <m:r>
              <m:rPr/>
              <w:rPr>
                <w:rFonts w:hint="eastAsia" w:ascii="Cambria Math" w:hAnsi="Cambria Math" w:cs="Times New Roman"/>
                <w:kern w:val="2"/>
                <w:sz w:val="21"/>
                <w:szCs w:val="21"/>
                <w:lang w:val="en-US" w:eastAsia="zh-CN" w:bidi="ar-SA"/>
              </w:rPr>
              <m:t>1</m:t>
            </m:r>
            <m:ctrlPr>
              <w:rPr>
                <w:rFonts w:hint="eastAsia" w:ascii="Cambria Math" w:hAnsi="Cambria Math" w:cs="Times New Roman"/>
                <w:i/>
                <w:kern w:val="2"/>
                <w:sz w:val="21"/>
                <w:szCs w:val="21"/>
                <w:lang w:val="en-US" w:eastAsia="zh-CN" w:bidi="ar-SA"/>
              </w:rPr>
            </m:ctrlPr>
          </m:sub>
        </m:sSub>
        <m:r>
          <m:rPr/>
          <w:rPr>
            <w:rFonts w:hint="default" w:ascii="Cambria Math" w:hAnsi="Cambria Math" w:cs="Cambria Math"/>
            <w:kern w:val="2"/>
            <w:sz w:val="21"/>
            <w:szCs w:val="21"/>
            <w:lang w:val="en-US" w:eastAsia="zh-CN" w:bidi="ar-SA"/>
          </w:rPr>
          <m:t>⋅</m:t>
        </m:r>
        <m:sSub>
          <m:sSubPr>
            <m:ctrlPr>
              <w:rPr>
                <w:rFonts w:hint="default" w:ascii="Cambria Math" w:hAnsi="Cambria Math" w:cs="Cambria Math"/>
                <w:i/>
                <w:kern w:val="2"/>
                <w:sz w:val="21"/>
                <w:szCs w:val="21"/>
                <w:lang w:val="en-US" w:eastAsia="zh-CN" w:bidi="ar-SA"/>
              </w:rPr>
            </m:ctrlPr>
          </m:sSubPr>
          <m:e>
            <m:r>
              <m:rPr/>
              <w:rPr>
                <w:rFonts w:hint="default" w:ascii="Cambria Math" w:hAnsi="Cambria Math" w:cs="Cambria Math"/>
                <w:kern w:val="2"/>
                <w:sz w:val="21"/>
                <w:szCs w:val="21"/>
                <w:lang w:val="en-US" w:eastAsia="zh-CN" w:bidi="ar-SA"/>
              </w:rPr>
              <m:t>A</m:t>
            </m:r>
            <m:ctrlPr>
              <w:rPr>
                <w:rFonts w:hint="default" w:ascii="Cambria Math" w:hAnsi="Cambria Math" w:cs="Cambria Math"/>
                <w:i/>
                <w:kern w:val="2"/>
                <w:sz w:val="21"/>
                <w:szCs w:val="21"/>
                <w:lang w:val="en-US" w:eastAsia="zh-CN" w:bidi="ar-SA"/>
              </w:rPr>
            </m:ctrlPr>
          </m:e>
          <m:sub>
            <m:r>
              <m:rPr/>
              <w:rPr>
                <w:rFonts w:hint="eastAsia" w:ascii="Cambria Math" w:hAnsi="Cambria Math" w:cs="Cambria Math"/>
                <w:kern w:val="2"/>
                <w:sz w:val="21"/>
                <w:szCs w:val="21"/>
                <w:lang w:val="en-US" w:eastAsia="zh-CN" w:bidi="ar-SA"/>
              </w:rPr>
              <m:t>1</m:t>
            </m:r>
            <m:ctrlPr>
              <w:rPr>
                <w:rFonts w:hint="default" w:ascii="Cambria Math" w:hAnsi="Cambria Math" w:cs="Cambria Math"/>
                <w:i/>
                <w:kern w:val="2"/>
                <w:sz w:val="21"/>
                <w:szCs w:val="21"/>
                <w:lang w:val="en-US" w:eastAsia="zh-CN" w:bidi="ar-SA"/>
              </w:rPr>
            </m:ctrlPr>
          </m:sub>
        </m:sSub>
        <m:r>
          <m:rPr/>
          <w:rPr>
            <w:rFonts w:hint="eastAsia" w:ascii="Cambria Math" w:hAnsi="Cambria Math" w:cs="Cambria Math"/>
            <w:kern w:val="2"/>
            <w:sz w:val="21"/>
            <w:szCs w:val="21"/>
            <w:lang w:val="en-US" w:eastAsia="zh-CN" w:bidi="ar-SA"/>
          </w:rPr>
          <m:t>+</m:t>
        </m:r>
        <m:sSub>
          <m:sSubPr>
            <m:ctrlPr>
              <w:rPr>
                <w:rFonts w:hint="eastAsia" w:ascii="Cambria Math" w:hAnsi="Cambria Math" w:cs="Times New Roman"/>
                <w:i/>
                <w:kern w:val="2"/>
                <w:sz w:val="21"/>
                <w:szCs w:val="21"/>
                <w:lang w:val="en-US" w:eastAsia="zh-CN" w:bidi="ar-SA"/>
              </w:rPr>
            </m:ctrlPr>
          </m:sSubPr>
          <m:e>
            <m:r>
              <m:rPr/>
              <w:rPr>
                <w:rFonts w:hint="default" w:ascii="Cambria Math" w:hAnsi="Cambria Math" w:cs="Times New Roman"/>
                <w:kern w:val="2"/>
                <w:sz w:val="21"/>
                <w:szCs w:val="21"/>
                <w:lang w:val="en-US" w:eastAsia="zh-CN" w:bidi="ar-SA"/>
              </w:rPr>
              <m:t>P</m:t>
            </m:r>
            <m:ctrlPr>
              <w:rPr>
                <w:rFonts w:hint="eastAsia" w:ascii="Cambria Math" w:hAnsi="Cambria Math" w:cs="Times New Roman"/>
                <w:i/>
                <w:kern w:val="2"/>
                <w:sz w:val="21"/>
                <w:szCs w:val="21"/>
                <w:lang w:val="en-US" w:eastAsia="zh-CN" w:bidi="ar-SA"/>
              </w:rPr>
            </m:ctrlPr>
          </m:e>
          <m:sub>
            <m:r>
              <m:rPr/>
              <w:rPr>
                <w:rFonts w:hint="eastAsia" w:ascii="Cambria Math" w:hAnsi="Cambria Math" w:cs="Times New Roman"/>
                <w:kern w:val="2"/>
                <w:sz w:val="21"/>
                <w:szCs w:val="21"/>
                <w:lang w:val="en-US" w:eastAsia="zh-CN" w:bidi="ar-SA"/>
              </w:rPr>
              <m:t>2</m:t>
            </m:r>
            <m:ctrlPr>
              <w:rPr>
                <w:rFonts w:hint="eastAsia" w:ascii="Cambria Math" w:hAnsi="Cambria Math" w:cs="Times New Roman"/>
                <w:i/>
                <w:kern w:val="2"/>
                <w:sz w:val="21"/>
                <w:szCs w:val="21"/>
                <w:lang w:val="en-US" w:eastAsia="zh-CN" w:bidi="ar-SA"/>
              </w:rPr>
            </m:ctrlPr>
          </m:sub>
        </m:sSub>
        <m:r>
          <m:rPr/>
          <w:rPr>
            <w:rFonts w:hint="default" w:ascii="Cambria Math" w:hAnsi="Cambria Math" w:cs="Cambria Math"/>
            <w:kern w:val="2"/>
            <w:sz w:val="21"/>
            <w:szCs w:val="21"/>
            <w:lang w:val="en-US" w:eastAsia="zh-CN" w:bidi="ar-SA"/>
          </w:rPr>
          <m:t>⋅</m:t>
        </m:r>
        <m:sSub>
          <m:sSubPr>
            <m:ctrlPr>
              <w:rPr>
                <w:rFonts w:hint="default" w:ascii="Cambria Math" w:hAnsi="Cambria Math" w:cs="Cambria Math"/>
                <w:i/>
                <w:kern w:val="2"/>
                <w:sz w:val="21"/>
                <w:szCs w:val="21"/>
                <w:lang w:val="en-US" w:eastAsia="zh-CN" w:bidi="ar-SA"/>
              </w:rPr>
            </m:ctrlPr>
          </m:sSubPr>
          <m:e>
            <m:r>
              <m:rPr/>
              <w:rPr>
                <w:rFonts w:hint="default" w:ascii="Cambria Math" w:hAnsi="Cambria Math" w:cs="Cambria Math"/>
                <w:kern w:val="2"/>
                <w:sz w:val="21"/>
                <w:szCs w:val="21"/>
                <w:lang w:val="en-US" w:eastAsia="zh-CN" w:bidi="ar-SA"/>
              </w:rPr>
              <m:t>A</m:t>
            </m:r>
            <m:ctrlPr>
              <w:rPr>
                <w:rFonts w:hint="default" w:ascii="Cambria Math" w:hAnsi="Cambria Math" w:cs="Cambria Math"/>
                <w:i/>
                <w:kern w:val="2"/>
                <w:sz w:val="21"/>
                <w:szCs w:val="21"/>
                <w:lang w:val="en-US" w:eastAsia="zh-CN" w:bidi="ar-SA"/>
              </w:rPr>
            </m:ctrlPr>
          </m:e>
          <m:sub>
            <m:r>
              <m:rPr/>
              <w:rPr>
                <w:rFonts w:hint="eastAsia" w:ascii="Cambria Math" w:hAnsi="Cambria Math" w:cs="Cambria Math"/>
                <w:kern w:val="2"/>
                <w:sz w:val="21"/>
                <w:szCs w:val="21"/>
                <w:lang w:val="en-US" w:eastAsia="zh-CN" w:bidi="ar-SA"/>
              </w:rPr>
              <m:t>2</m:t>
            </m:r>
            <m:ctrlPr>
              <w:rPr>
                <w:rFonts w:hint="default" w:ascii="Cambria Math" w:hAnsi="Cambria Math" w:cs="Cambria Math"/>
                <w:i/>
                <w:kern w:val="2"/>
                <w:sz w:val="21"/>
                <w:szCs w:val="21"/>
                <w:lang w:val="en-US" w:eastAsia="zh-CN" w:bidi="ar-SA"/>
              </w:rPr>
            </m:ctrlPr>
          </m:sub>
        </m:sSub>
        <m:r>
          <m:rPr/>
          <w:rPr>
            <w:rFonts w:hint="eastAsia" w:ascii="Cambria Math" w:hAnsi="Cambria Math" w:cs="Cambria Math"/>
            <w:kern w:val="2"/>
            <w:sz w:val="21"/>
            <w:szCs w:val="21"/>
            <w:lang w:val="en-US" w:eastAsia="zh-CN" w:bidi="ar-SA"/>
          </w:rPr>
          <m:t>+</m:t>
        </m:r>
        <m:sSub>
          <m:sSubPr>
            <m:ctrlPr>
              <w:rPr>
                <w:rFonts w:hint="eastAsia" w:ascii="Cambria Math" w:hAnsi="Cambria Math" w:cs="Times New Roman"/>
                <w:i/>
                <w:kern w:val="2"/>
                <w:sz w:val="21"/>
                <w:szCs w:val="21"/>
                <w:lang w:val="en-US" w:eastAsia="zh-CN" w:bidi="ar-SA"/>
              </w:rPr>
            </m:ctrlPr>
          </m:sSubPr>
          <m:e>
            <m:r>
              <m:rPr/>
              <w:rPr>
                <w:rFonts w:hint="default" w:ascii="Cambria Math" w:hAnsi="Cambria Math" w:cs="Times New Roman"/>
                <w:kern w:val="2"/>
                <w:sz w:val="21"/>
                <w:szCs w:val="21"/>
                <w:lang w:val="en-US" w:eastAsia="zh-CN" w:bidi="ar-SA"/>
              </w:rPr>
              <m:t>P</m:t>
            </m:r>
            <m:ctrlPr>
              <w:rPr>
                <w:rFonts w:hint="eastAsia" w:ascii="Cambria Math" w:hAnsi="Cambria Math" w:cs="Times New Roman"/>
                <w:i/>
                <w:kern w:val="2"/>
                <w:sz w:val="21"/>
                <w:szCs w:val="21"/>
                <w:lang w:val="en-US" w:eastAsia="zh-CN" w:bidi="ar-SA"/>
              </w:rPr>
            </m:ctrlPr>
          </m:e>
          <m:sub>
            <m:r>
              <m:rPr/>
              <w:rPr>
                <w:rFonts w:hint="eastAsia" w:ascii="Cambria Math" w:hAnsi="Cambria Math" w:cs="Times New Roman"/>
                <w:kern w:val="2"/>
                <w:sz w:val="21"/>
                <w:szCs w:val="21"/>
                <w:lang w:val="en-US" w:eastAsia="zh-CN" w:bidi="ar-SA"/>
              </w:rPr>
              <m:t>3</m:t>
            </m:r>
            <m:ctrlPr>
              <w:rPr>
                <w:rFonts w:hint="eastAsia" w:ascii="Cambria Math" w:hAnsi="Cambria Math" w:cs="Times New Roman"/>
                <w:i/>
                <w:kern w:val="2"/>
                <w:sz w:val="21"/>
                <w:szCs w:val="21"/>
                <w:lang w:val="en-US" w:eastAsia="zh-CN" w:bidi="ar-SA"/>
              </w:rPr>
            </m:ctrlPr>
          </m:sub>
        </m:sSub>
        <m:r>
          <m:rPr/>
          <w:rPr>
            <w:rFonts w:hint="default" w:ascii="Cambria Math" w:hAnsi="Cambria Math" w:cs="Cambria Math"/>
            <w:kern w:val="2"/>
            <w:sz w:val="21"/>
            <w:szCs w:val="21"/>
            <w:lang w:val="en-US" w:eastAsia="zh-CN" w:bidi="ar-SA"/>
          </w:rPr>
          <m:t>⋅</m:t>
        </m:r>
        <m:sSub>
          <m:sSubPr>
            <m:ctrlPr>
              <w:rPr>
                <w:rFonts w:hint="default" w:ascii="Cambria Math" w:hAnsi="Cambria Math" w:cs="Cambria Math"/>
                <w:i/>
                <w:kern w:val="2"/>
                <w:sz w:val="21"/>
                <w:szCs w:val="21"/>
                <w:lang w:val="en-US" w:eastAsia="zh-CN" w:bidi="ar-SA"/>
              </w:rPr>
            </m:ctrlPr>
          </m:sSubPr>
          <m:e>
            <m:r>
              <m:rPr/>
              <w:rPr>
                <w:rFonts w:hint="default" w:ascii="Cambria Math" w:hAnsi="Cambria Math" w:cs="Cambria Math"/>
                <w:kern w:val="2"/>
                <w:sz w:val="21"/>
                <w:szCs w:val="21"/>
                <w:lang w:val="en-US" w:eastAsia="zh-CN" w:bidi="ar-SA"/>
              </w:rPr>
              <m:t>A</m:t>
            </m:r>
            <m:ctrlPr>
              <w:rPr>
                <w:rFonts w:hint="default" w:ascii="Cambria Math" w:hAnsi="Cambria Math" w:cs="Cambria Math"/>
                <w:i/>
                <w:kern w:val="2"/>
                <w:sz w:val="21"/>
                <w:szCs w:val="21"/>
                <w:lang w:val="en-US" w:eastAsia="zh-CN" w:bidi="ar-SA"/>
              </w:rPr>
            </m:ctrlPr>
          </m:e>
          <m:sub>
            <m:r>
              <m:rPr/>
              <w:rPr>
                <w:rFonts w:hint="eastAsia" w:ascii="Cambria Math" w:hAnsi="Cambria Math" w:cs="Cambria Math"/>
                <w:kern w:val="2"/>
                <w:sz w:val="21"/>
                <w:szCs w:val="21"/>
                <w:lang w:val="en-US" w:eastAsia="zh-CN" w:bidi="ar-SA"/>
              </w:rPr>
              <m:t>3</m:t>
            </m:r>
            <m:ctrlPr>
              <w:rPr>
                <w:rFonts w:hint="default" w:ascii="Cambria Math" w:hAnsi="Cambria Math" w:cs="Cambria Math"/>
                <w:i/>
                <w:kern w:val="2"/>
                <w:sz w:val="21"/>
                <w:szCs w:val="21"/>
                <w:lang w:val="en-US" w:eastAsia="zh-CN" w:bidi="ar-SA"/>
              </w:rPr>
            </m:ctrlPr>
          </m:sub>
        </m:sSub>
      </m:oMath>
      <w:r>
        <w:rPr>
          <w:rFonts w:hint="eastAsia" w:ascii="微软雅黑" w:hAnsi="微软雅黑" w:eastAsia="微软雅黑" w:cs="微软雅黑"/>
          <w:lang w:eastAsia="zh-CN"/>
        </w:rPr>
        <w:tab/>
      </w:r>
      <w:r>
        <w:rPr>
          <w:rFonts w:hint="eastAsia"/>
          <w:lang w:eastAsia="zh-CN"/>
        </w:rPr>
        <w:t>(</w:t>
      </w:r>
      <w:r>
        <w:rPr>
          <w:rFonts w:hint="eastAsia"/>
          <w:lang w:eastAsia="zh-CN"/>
        </w:rPr>
        <w:fldChar w:fldCharType="begin"/>
      </w:r>
      <w:r>
        <w:rPr>
          <w:rFonts w:hint="eastAsia"/>
          <w:lang w:eastAsia="zh-CN"/>
        </w:rPr>
        <w:instrText xml:space="preserve"> SEQ 公式 \* ARABIC </w:instrText>
      </w:r>
      <w:r>
        <w:rPr>
          <w:rFonts w:hint="eastAsia"/>
          <w:lang w:eastAsia="zh-CN"/>
        </w:rPr>
        <w:fldChar w:fldCharType="separate"/>
      </w:r>
      <w:r>
        <w:rPr>
          <w:rFonts w:hint="eastAsia"/>
          <w:lang w:eastAsia="zh-CN"/>
        </w:rPr>
        <w:t>1</w:t>
      </w:r>
      <w:r>
        <w:rPr>
          <w:rFonts w:hint="eastAsia"/>
          <w:lang w:eastAsia="zh-CN"/>
        </w:rPr>
        <w:fldChar w:fldCharType="end"/>
      </w:r>
      <w:r>
        <w:rPr>
          <w:rFonts w:hint="eastAsia"/>
          <w:lang w:eastAsia="zh-CN"/>
        </w:rPr>
        <w:t>)</w:t>
      </w:r>
    </w:p>
    <w:p w14:paraId="60666ADD">
      <w:pPr>
        <w:pStyle w:val="37"/>
        <w:keepLines w:val="0"/>
        <w:kinsoku/>
        <w:wordWrap/>
        <w:overflowPunct/>
        <w:topLinePunct w:val="0"/>
        <w:bidi w:val="0"/>
        <w:spacing w:line="240" w:lineRule="auto"/>
        <w:rPr>
          <w:rFonts w:hint="eastAsia"/>
          <w:lang w:eastAsia="zh-CN"/>
        </w:rPr>
      </w:pPr>
      <w:r>
        <w:rPr>
          <w:rFonts w:hint="eastAsia"/>
          <w:lang w:eastAsia="zh-CN"/>
        </w:rPr>
        <w:t>式中：</w:t>
      </w:r>
    </w:p>
    <w:p w14:paraId="562F4327">
      <w:pPr>
        <w:pStyle w:val="15"/>
        <w:keepLines w:val="0"/>
        <w:kinsoku/>
        <w:wordWrap/>
        <w:overflowPunct/>
        <w:topLinePunct w:val="0"/>
        <w:bidi w:val="0"/>
        <w:spacing w:line="240" w:lineRule="auto"/>
        <w:ind w:firstLine="420"/>
        <w:rPr>
          <w:rFonts w:hint="eastAsia" w:hAnsi="Cambria Math" w:cs="Times New Roman"/>
          <w:i w:val="0"/>
          <w:kern w:val="2"/>
          <w:sz w:val="21"/>
          <w:szCs w:val="21"/>
          <w:lang w:val="en-US" w:eastAsia="zh-CN" w:bidi="ar-SA"/>
        </w:rPr>
      </w:pPr>
      <m:oMath>
        <m:r>
          <m:rPr/>
          <w:rPr>
            <w:rFonts w:hint="default" w:ascii="Cambria Math" w:hAnsi="Cambria Math" w:cs="Times New Roman"/>
            <w:kern w:val="2"/>
            <w:sz w:val="21"/>
            <w:szCs w:val="21"/>
            <w:lang w:val="en-US" w:eastAsia="zh-CN" w:bidi="ar-SA"/>
          </w:rPr>
          <m:t>S</m:t>
        </m:r>
      </m:oMath>
      <w:r>
        <w:rPr>
          <w:rFonts w:hint="eastAsia" w:hAnsi="Cambria Math" w:cs="Times New Roman"/>
          <w:i w:val="0"/>
          <w:kern w:val="2"/>
          <w:sz w:val="21"/>
          <w:szCs w:val="21"/>
          <w:lang w:val="en-US" w:eastAsia="zh-CN" w:bidi="ar-SA"/>
        </w:rPr>
        <w:t>——能源费用托管服务评价总得分；</w:t>
      </w:r>
    </w:p>
    <w:p w14:paraId="1DFE52FC">
      <w:pPr>
        <w:pStyle w:val="15"/>
        <w:keepLines w:val="0"/>
        <w:kinsoku/>
        <w:wordWrap/>
        <w:overflowPunct/>
        <w:topLinePunct w:val="0"/>
        <w:bidi w:val="0"/>
        <w:spacing w:line="240" w:lineRule="auto"/>
        <w:ind w:firstLine="420"/>
        <w:rPr>
          <w:rFonts w:hint="default" w:hAnsi="Cambria Math" w:cs="Times New Roman"/>
          <w:i w:val="0"/>
          <w:kern w:val="2"/>
          <w:sz w:val="21"/>
          <w:szCs w:val="21"/>
          <w:lang w:val="en-US" w:eastAsia="zh-CN" w:bidi="ar-SA"/>
        </w:rPr>
      </w:pPr>
      <m:oMath>
        <m:sSub>
          <m:sSubPr>
            <m:ctrlPr>
              <w:rPr>
                <w:rFonts w:hint="eastAsia" w:ascii="Cambria Math" w:hAnsi="Cambria Math" w:cs="Times New Roman"/>
                <w:i/>
                <w:kern w:val="2"/>
                <w:sz w:val="21"/>
                <w:szCs w:val="21"/>
                <w:lang w:val="en-US" w:eastAsia="zh-CN" w:bidi="ar-SA"/>
              </w:rPr>
            </m:ctrlPr>
          </m:sSubPr>
          <m:e>
            <m:r>
              <m:rPr/>
              <w:rPr>
                <w:rFonts w:hint="default" w:ascii="Cambria Math" w:hAnsi="Cambria Math" w:cs="Times New Roman"/>
                <w:kern w:val="2"/>
                <w:sz w:val="21"/>
                <w:szCs w:val="21"/>
                <w:lang w:val="en-US" w:eastAsia="zh-CN" w:bidi="ar-SA"/>
              </w:rPr>
              <m:t>P</m:t>
            </m:r>
            <m:ctrlPr>
              <w:rPr>
                <w:rFonts w:hint="eastAsia" w:ascii="Cambria Math" w:hAnsi="Cambria Math" w:cs="Times New Roman"/>
                <w:i/>
                <w:kern w:val="2"/>
                <w:sz w:val="21"/>
                <w:szCs w:val="21"/>
                <w:lang w:val="en-US" w:eastAsia="zh-CN" w:bidi="ar-SA"/>
              </w:rPr>
            </m:ctrlPr>
          </m:e>
          <m:sub>
            <m:r>
              <m:rPr/>
              <w:rPr>
                <w:rFonts w:hint="eastAsia" w:ascii="Cambria Math" w:hAnsi="Cambria Math" w:cs="Times New Roman"/>
                <w:kern w:val="2"/>
                <w:sz w:val="21"/>
                <w:szCs w:val="21"/>
                <w:lang w:val="en-US" w:eastAsia="zh-CN" w:bidi="ar-SA"/>
              </w:rPr>
              <m:t>1</m:t>
            </m:r>
            <m:ctrlPr>
              <w:rPr>
                <w:rFonts w:hint="eastAsia" w:ascii="Cambria Math" w:hAnsi="Cambria Math" w:cs="Times New Roman"/>
                <w:i/>
                <w:kern w:val="2"/>
                <w:sz w:val="21"/>
                <w:szCs w:val="21"/>
                <w:lang w:val="en-US" w:eastAsia="zh-CN" w:bidi="ar-SA"/>
              </w:rPr>
            </m:ctrlPr>
          </m:sub>
        </m:sSub>
      </m:oMath>
      <w:r>
        <w:rPr>
          <w:rFonts w:hint="eastAsia" w:hAnsi="Cambria Math" w:cs="Times New Roman"/>
          <w:i w:val="0"/>
          <w:kern w:val="2"/>
          <w:sz w:val="21"/>
          <w:szCs w:val="21"/>
          <w:lang w:val="en-US" w:eastAsia="zh-CN" w:bidi="ar-SA"/>
        </w:rPr>
        <w:t>——服务能力指标权重；</w:t>
      </w:r>
    </w:p>
    <w:p w14:paraId="05BDCE97">
      <w:pPr>
        <w:pStyle w:val="15"/>
        <w:keepLines w:val="0"/>
        <w:kinsoku/>
        <w:wordWrap/>
        <w:overflowPunct/>
        <w:topLinePunct w:val="0"/>
        <w:bidi w:val="0"/>
        <w:spacing w:line="240" w:lineRule="auto"/>
        <w:ind w:firstLine="420"/>
        <w:rPr>
          <w:rFonts w:hint="default" w:hAnsi="Cambria Math" w:cs="Times New Roman"/>
          <w:i w:val="0"/>
          <w:kern w:val="2"/>
          <w:sz w:val="21"/>
          <w:szCs w:val="21"/>
          <w:lang w:val="en-US" w:eastAsia="zh-CN" w:bidi="ar-SA"/>
        </w:rPr>
      </w:pPr>
      <m:oMath>
        <m:sSub>
          <m:sSubPr>
            <m:ctrlPr>
              <w:rPr>
                <w:rFonts w:hint="eastAsia" w:ascii="Cambria Math" w:hAnsi="Cambria Math" w:cs="Times New Roman"/>
                <w:i/>
                <w:kern w:val="2"/>
                <w:sz w:val="21"/>
                <w:szCs w:val="21"/>
                <w:lang w:val="en-US" w:eastAsia="zh-CN" w:bidi="ar-SA"/>
              </w:rPr>
            </m:ctrlPr>
          </m:sSubPr>
          <m:e>
            <m:r>
              <m:rPr/>
              <w:rPr>
                <w:rFonts w:hint="default" w:ascii="Cambria Math" w:hAnsi="Cambria Math" w:cs="Times New Roman"/>
                <w:kern w:val="2"/>
                <w:sz w:val="21"/>
                <w:szCs w:val="21"/>
                <w:lang w:val="en-US" w:eastAsia="zh-CN" w:bidi="ar-SA"/>
              </w:rPr>
              <m:t>A</m:t>
            </m:r>
            <m:ctrlPr>
              <w:rPr>
                <w:rFonts w:hint="eastAsia" w:ascii="Cambria Math" w:hAnsi="Cambria Math" w:cs="Times New Roman"/>
                <w:i/>
                <w:kern w:val="2"/>
                <w:sz w:val="21"/>
                <w:szCs w:val="21"/>
                <w:lang w:val="en-US" w:eastAsia="zh-CN" w:bidi="ar-SA"/>
              </w:rPr>
            </m:ctrlPr>
          </m:e>
          <m:sub>
            <m:r>
              <m:rPr/>
              <w:rPr>
                <w:rFonts w:hint="eastAsia" w:ascii="Cambria Math" w:hAnsi="Cambria Math" w:cs="Times New Roman"/>
                <w:kern w:val="2"/>
                <w:sz w:val="21"/>
                <w:szCs w:val="21"/>
                <w:lang w:val="en-US" w:eastAsia="zh-CN" w:bidi="ar-SA"/>
              </w:rPr>
              <m:t>1</m:t>
            </m:r>
            <m:ctrlPr>
              <w:rPr>
                <w:rFonts w:hint="eastAsia" w:ascii="Cambria Math" w:hAnsi="Cambria Math" w:cs="Times New Roman"/>
                <w:i/>
                <w:kern w:val="2"/>
                <w:sz w:val="21"/>
                <w:szCs w:val="21"/>
                <w:lang w:val="en-US" w:eastAsia="zh-CN" w:bidi="ar-SA"/>
              </w:rPr>
            </m:ctrlPr>
          </m:sub>
        </m:sSub>
      </m:oMath>
      <w:r>
        <w:rPr>
          <w:rFonts w:hint="eastAsia" w:hAnsi="Cambria Math" w:cs="Times New Roman"/>
          <w:i w:val="0"/>
          <w:kern w:val="2"/>
          <w:sz w:val="21"/>
          <w:szCs w:val="21"/>
          <w:lang w:val="en-US" w:eastAsia="zh-CN" w:bidi="ar-SA"/>
        </w:rPr>
        <w:t>——服务能力指标得分；</w:t>
      </w:r>
    </w:p>
    <w:p w14:paraId="09448651">
      <w:pPr>
        <w:pStyle w:val="15"/>
        <w:keepLines w:val="0"/>
        <w:kinsoku/>
        <w:wordWrap/>
        <w:overflowPunct/>
        <w:topLinePunct w:val="0"/>
        <w:bidi w:val="0"/>
        <w:spacing w:line="240" w:lineRule="auto"/>
        <w:ind w:firstLine="420"/>
        <w:rPr>
          <w:rFonts w:hint="eastAsia" w:hAnsi="Cambria Math" w:cs="Times New Roman"/>
          <w:i w:val="0"/>
          <w:kern w:val="2"/>
          <w:sz w:val="21"/>
          <w:szCs w:val="21"/>
          <w:lang w:val="en-US" w:eastAsia="zh-CN" w:bidi="ar-SA"/>
        </w:rPr>
      </w:pPr>
      <m:oMath>
        <m:sSub>
          <m:sSubPr>
            <m:ctrlPr>
              <w:rPr>
                <w:rFonts w:hint="eastAsia" w:ascii="Cambria Math" w:hAnsi="Cambria Math" w:cs="Times New Roman"/>
                <w:i/>
                <w:kern w:val="2"/>
                <w:sz w:val="21"/>
                <w:szCs w:val="21"/>
                <w:lang w:val="en-US" w:eastAsia="zh-CN" w:bidi="ar-SA"/>
              </w:rPr>
            </m:ctrlPr>
          </m:sSubPr>
          <m:e>
            <m:r>
              <m:rPr/>
              <w:rPr>
                <w:rFonts w:hint="default" w:ascii="Cambria Math" w:hAnsi="Cambria Math" w:cs="Times New Roman"/>
                <w:kern w:val="2"/>
                <w:sz w:val="21"/>
                <w:szCs w:val="21"/>
                <w:lang w:val="en-US" w:eastAsia="zh-CN" w:bidi="ar-SA"/>
              </w:rPr>
              <m:t>P</m:t>
            </m:r>
            <m:ctrlPr>
              <w:rPr>
                <w:rFonts w:hint="eastAsia" w:ascii="Cambria Math" w:hAnsi="Cambria Math" w:cs="Times New Roman"/>
                <w:i/>
                <w:kern w:val="2"/>
                <w:sz w:val="21"/>
                <w:szCs w:val="21"/>
                <w:lang w:val="en-US" w:eastAsia="zh-CN" w:bidi="ar-SA"/>
              </w:rPr>
            </m:ctrlPr>
          </m:e>
          <m:sub>
            <m:r>
              <m:rPr/>
              <w:rPr>
                <w:rFonts w:hint="eastAsia" w:ascii="Cambria Math" w:hAnsi="Cambria Math" w:cs="Times New Roman"/>
                <w:kern w:val="2"/>
                <w:sz w:val="21"/>
                <w:szCs w:val="21"/>
                <w:lang w:val="en-US" w:eastAsia="zh-CN" w:bidi="ar-SA"/>
              </w:rPr>
              <m:t>2</m:t>
            </m:r>
            <m:ctrlPr>
              <w:rPr>
                <w:rFonts w:hint="eastAsia" w:ascii="Cambria Math" w:hAnsi="Cambria Math" w:cs="Times New Roman"/>
                <w:i/>
                <w:kern w:val="2"/>
                <w:sz w:val="21"/>
                <w:szCs w:val="21"/>
                <w:lang w:val="en-US" w:eastAsia="zh-CN" w:bidi="ar-SA"/>
              </w:rPr>
            </m:ctrlPr>
          </m:sub>
        </m:sSub>
      </m:oMath>
      <w:r>
        <w:rPr>
          <w:rFonts w:hint="eastAsia" w:hAnsi="Cambria Math" w:cs="Times New Roman"/>
          <w:i w:val="0"/>
          <w:kern w:val="2"/>
          <w:sz w:val="21"/>
          <w:szCs w:val="21"/>
          <w:lang w:val="en-US" w:eastAsia="zh-CN" w:bidi="ar-SA"/>
        </w:rPr>
        <w:t>——服务过程指标权重；</w:t>
      </w:r>
    </w:p>
    <w:p w14:paraId="7E632331">
      <w:pPr>
        <w:pStyle w:val="15"/>
        <w:keepLines w:val="0"/>
        <w:kinsoku/>
        <w:wordWrap/>
        <w:overflowPunct/>
        <w:topLinePunct w:val="0"/>
        <w:bidi w:val="0"/>
        <w:spacing w:line="240" w:lineRule="auto"/>
        <w:ind w:firstLine="420"/>
        <w:rPr>
          <w:rFonts w:hint="eastAsia" w:hAnsi="Cambria Math" w:cs="Times New Roman"/>
          <w:i w:val="0"/>
          <w:kern w:val="2"/>
          <w:sz w:val="21"/>
          <w:szCs w:val="21"/>
          <w:lang w:val="en-US" w:eastAsia="zh-CN" w:bidi="ar-SA"/>
        </w:rPr>
      </w:pPr>
      <m:oMath>
        <m:sSub>
          <m:sSubPr>
            <m:ctrlPr>
              <w:rPr>
                <w:rFonts w:hint="eastAsia" w:ascii="Cambria Math" w:hAnsi="Cambria Math" w:cs="Times New Roman"/>
                <w:i/>
                <w:kern w:val="2"/>
                <w:sz w:val="21"/>
                <w:szCs w:val="21"/>
                <w:lang w:val="en-US" w:eastAsia="zh-CN" w:bidi="ar-SA"/>
              </w:rPr>
            </m:ctrlPr>
          </m:sSubPr>
          <m:e>
            <m:r>
              <m:rPr/>
              <w:rPr>
                <w:rFonts w:hint="default" w:ascii="Cambria Math" w:hAnsi="Cambria Math" w:cs="Times New Roman"/>
                <w:kern w:val="2"/>
                <w:sz w:val="21"/>
                <w:szCs w:val="21"/>
                <w:lang w:val="en-US" w:eastAsia="zh-CN" w:bidi="ar-SA"/>
              </w:rPr>
              <m:t>A</m:t>
            </m:r>
            <m:ctrlPr>
              <w:rPr>
                <w:rFonts w:hint="eastAsia" w:ascii="Cambria Math" w:hAnsi="Cambria Math" w:cs="Times New Roman"/>
                <w:i/>
                <w:kern w:val="2"/>
                <w:sz w:val="21"/>
                <w:szCs w:val="21"/>
                <w:lang w:val="en-US" w:eastAsia="zh-CN" w:bidi="ar-SA"/>
              </w:rPr>
            </m:ctrlPr>
          </m:e>
          <m:sub>
            <m:r>
              <m:rPr/>
              <w:rPr>
                <w:rFonts w:hint="eastAsia" w:ascii="Cambria Math" w:hAnsi="Cambria Math" w:cs="Times New Roman"/>
                <w:kern w:val="2"/>
                <w:sz w:val="21"/>
                <w:szCs w:val="21"/>
                <w:lang w:val="en-US" w:eastAsia="zh-CN" w:bidi="ar-SA"/>
              </w:rPr>
              <m:t>2</m:t>
            </m:r>
            <m:ctrlPr>
              <w:rPr>
                <w:rFonts w:hint="eastAsia" w:ascii="Cambria Math" w:hAnsi="Cambria Math" w:cs="Times New Roman"/>
                <w:i/>
                <w:kern w:val="2"/>
                <w:sz w:val="21"/>
                <w:szCs w:val="21"/>
                <w:lang w:val="en-US" w:eastAsia="zh-CN" w:bidi="ar-SA"/>
              </w:rPr>
            </m:ctrlPr>
          </m:sub>
        </m:sSub>
      </m:oMath>
      <w:r>
        <w:rPr>
          <w:rFonts w:hint="eastAsia" w:hAnsi="Cambria Math" w:cs="Times New Roman"/>
          <w:i w:val="0"/>
          <w:kern w:val="2"/>
          <w:sz w:val="21"/>
          <w:szCs w:val="21"/>
          <w:lang w:val="en-US" w:eastAsia="zh-CN" w:bidi="ar-SA"/>
        </w:rPr>
        <w:t>——服务过程指标得分；</w:t>
      </w:r>
    </w:p>
    <w:p w14:paraId="3A287100">
      <w:pPr>
        <w:pStyle w:val="15"/>
        <w:keepLines w:val="0"/>
        <w:kinsoku/>
        <w:wordWrap/>
        <w:overflowPunct/>
        <w:topLinePunct w:val="0"/>
        <w:bidi w:val="0"/>
        <w:spacing w:line="240" w:lineRule="auto"/>
        <w:ind w:firstLine="420"/>
        <w:rPr>
          <w:rFonts w:hint="eastAsia" w:hAnsi="Cambria Math" w:cs="Times New Roman"/>
          <w:i w:val="0"/>
          <w:kern w:val="2"/>
          <w:sz w:val="21"/>
          <w:szCs w:val="21"/>
          <w:lang w:val="en-US" w:eastAsia="zh-CN" w:bidi="ar-SA"/>
        </w:rPr>
      </w:pPr>
      <m:oMath>
        <m:sSub>
          <m:sSubPr>
            <m:ctrlPr>
              <w:rPr>
                <w:rFonts w:hint="eastAsia" w:ascii="Cambria Math" w:hAnsi="Cambria Math" w:cs="Times New Roman"/>
                <w:i/>
                <w:kern w:val="2"/>
                <w:sz w:val="21"/>
                <w:szCs w:val="21"/>
                <w:lang w:val="en-US" w:eastAsia="zh-CN" w:bidi="ar-SA"/>
              </w:rPr>
            </m:ctrlPr>
          </m:sSubPr>
          <m:e>
            <m:r>
              <m:rPr/>
              <w:rPr>
                <w:rFonts w:hint="default" w:ascii="Cambria Math" w:hAnsi="Cambria Math" w:cs="Times New Roman"/>
                <w:kern w:val="2"/>
                <w:sz w:val="21"/>
                <w:szCs w:val="21"/>
                <w:lang w:val="en-US" w:eastAsia="zh-CN" w:bidi="ar-SA"/>
              </w:rPr>
              <m:t>P</m:t>
            </m:r>
            <m:ctrlPr>
              <w:rPr>
                <w:rFonts w:hint="eastAsia" w:ascii="Cambria Math" w:hAnsi="Cambria Math" w:cs="Times New Roman"/>
                <w:i/>
                <w:kern w:val="2"/>
                <w:sz w:val="21"/>
                <w:szCs w:val="21"/>
                <w:lang w:val="en-US" w:eastAsia="zh-CN" w:bidi="ar-SA"/>
              </w:rPr>
            </m:ctrlPr>
          </m:e>
          <m:sub>
            <m:r>
              <m:rPr/>
              <w:rPr>
                <w:rFonts w:hint="eastAsia" w:ascii="Cambria Math" w:hAnsi="Cambria Math" w:cs="Times New Roman"/>
                <w:kern w:val="2"/>
                <w:sz w:val="21"/>
                <w:szCs w:val="21"/>
                <w:lang w:val="en-US" w:eastAsia="zh-CN" w:bidi="ar-SA"/>
              </w:rPr>
              <m:t>3</m:t>
            </m:r>
            <m:ctrlPr>
              <w:rPr>
                <w:rFonts w:hint="eastAsia" w:ascii="Cambria Math" w:hAnsi="Cambria Math" w:cs="Times New Roman"/>
                <w:i/>
                <w:kern w:val="2"/>
                <w:sz w:val="21"/>
                <w:szCs w:val="21"/>
                <w:lang w:val="en-US" w:eastAsia="zh-CN" w:bidi="ar-SA"/>
              </w:rPr>
            </m:ctrlPr>
          </m:sub>
        </m:sSub>
      </m:oMath>
      <w:r>
        <w:rPr>
          <w:rFonts w:hint="eastAsia" w:hAnsi="Cambria Math" w:cs="Times New Roman"/>
          <w:i w:val="0"/>
          <w:kern w:val="2"/>
          <w:sz w:val="21"/>
          <w:szCs w:val="21"/>
          <w:lang w:val="en-US" w:eastAsia="zh-CN" w:bidi="ar-SA"/>
        </w:rPr>
        <w:t>——服务绩效指标权重；</w:t>
      </w:r>
    </w:p>
    <w:p w14:paraId="0BBDFAB3">
      <w:pPr>
        <w:pStyle w:val="15"/>
        <w:keepLines w:val="0"/>
        <w:kinsoku/>
        <w:wordWrap/>
        <w:overflowPunct/>
        <w:topLinePunct w:val="0"/>
        <w:bidi w:val="0"/>
        <w:spacing w:line="240" w:lineRule="auto"/>
        <w:ind w:firstLine="420"/>
        <w:rPr>
          <w:rFonts w:hint="default" w:hAnsi="Cambria Math" w:cs="Times New Roman"/>
          <w:i w:val="0"/>
          <w:kern w:val="2"/>
          <w:sz w:val="21"/>
          <w:szCs w:val="21"/>
          <w:lang w:val="en-US" w:eastAsia="zh-CN" w:bidi="ar-SA"/>
        </w:rPr>
      </w:pPr>
      <m:oMath>
        <m:sSub>
          <m:sSubPr>
            <m:ctrlPr>
              <w:rPr>
                <w:rFonts w:hint="eastAsia" w:ascii="Cambria Math" w:hAnsi="Cambria Math" w:cs="Times New Roman"/>
                <w:i/>
                <w:kern w:val="2"/>
                <w:sz w:val="21"/>
                <w:szCs w:val="21"/>
                <w:lang w:val="en-US" w:eastAsia="zh-CN" w:bidi="ar-SA"/>
              </w:rPr>
            </m:ctrlPr>
          </m:sSubPr>
          <m:e>
            <m:r>
              <m:rPr/>
              <w:rPr>
                <w:rFonts w:hint="default" w:ascii="Cambria Math" w:hAnsi="Cambria Math" w:cs="Times New Roman"/>
                <w:kern w:val="2"/>
                <w:sz w:val="21"/>
                <w:szCs w:val="21"/>
                <w:lang w:val="en-US" w:eastAsia="zh-CN" w:bidi="ar-SA"/>
              </w:rPr>
              <m:t>A</m:t>
            </m:r>
            <m:ctrlPr>
              <w:rPr>
                <w:rFonts w:hint="eastAsia" w:ascii="Cambria Math" w:hAnsi="Cambria Math" w:cs="Times New Roman"/>
                <w:i/>
                <w:kern w:val="2"/>
                <w:sz w:val="21"/>
                <w:szCs w:val="21"/>
                <w:lang w:val="en-US" w:eastAsia="zh-CN" w:bidi="ar-SA"/>
              </w:rPr>
            </m:ctrlPr>
          </m:e>
          <m:sub>
            <m:r>
              <m:rPr/>
              <w:rPr>
                <w:rFonts w:hint="eastAsia" w:ascii="Cambria Math" w:hAnsi="Cambria Math" w:cs="Times New Roman"/>
                <w:kern w:val="2"/>
                <w:sz w:val="21"/>
                <w:szCs w:val="21"/>
                <w:lang w:val="en-US" w:eastAsia="zh-CN" w:bidi="ar-SA"/>
              </w:rPr>
              <m:t>3</m:t>
            </m:r>
            <m:ctrlPr>
              <w:rPr>
                <w:rFonts w:hint="eastAsia" w:ascii="Cambria Math" w:hAnsi="Cambria Math" w:cs="Times New Roman"/>
                <w:i/>
                <w:kern w:val="2"/>
                <w:sz w:val="21"/>
                <w:szCs w:val="21"/>
                <w:lang w:val="en-US" w:eastAsia="zh-CN" w:bidi="ar-SA"/>
              </w:rPr>
            </m:ctrlPr>
          </m:sub>
        </m:sSub>
      </m:oMath>
      <w:r>
        <w:rPr>
          <w:rFonts w:hint="eastAsia" w:hAnsi="Cambria Math" w:cs="Times New Roman"/>
          <w:i w:val="0"/>
          <w:kern w:val="2"/>
          <w:sz w:val="21"/>
          <w:szCs w:val="21"/>
          <w:lang w:val="en-US" w:eastAsia="zh-CN" w:bidi="ar-SA"/>
        </w:rPr>
        <w:t>——服务绩效指标得分。</w:t>
      </w:r>
    </w:p>
    <w:p w14:paraId="42F6EAE7">
      <w:pPr>
        <w:pStyle w:val="17"/>
        <w:keepLines w:val="0"/>
        <w:kinsoku/>
        <w:wordWrap/>
        <w:overflowPunct/>
        <w:topLinePunct w:val="0"/>
        <w:bidi w:val="0"/>
        <w:spacing w:line="240" w:lineRule="auto"/>
        <w:ind w:left="0" w:leftChars="0" w:firstLine="0" w:firstLineChars="0"/>
        <w:rPr>
          <w:rFonts w:hint="default"/>
          <w:lang w:val="en-US" w:eastAsia="zh-CN"/>
        </w:rPr>
      </w:pPr>
      <w:bookmarkStart w:id="44" w:name="_Toc3736"/>
      <w:r>
        <w:rPr>
          <w:rFonts w:hint="eastAsia"/>
          <w:lang w:val="en-US" w:eastAsia="zh-CN"/>
        </w:rPr>
        <w:t>评价结果</w:t>
      </w:r>
      <w:bookmarkEnd w:id="44"/>
      <w:r>
        <w:rPr>
          <w:rFonts w:hint="eastAsia"/>
          <w:lang w:val="en-US" w:eastAsia="zh-CN"/>
        </w:rPr>
        <w:t>应用</w:t>
      </w:r>
    </w:p>
    <w:p w14:paraId="7F874062">
      <w:pPr>
        <w:keepLines w:val="0"/>
        <w:kinsoku/>
        <w:wordWrap/>
        <w:overflowPunct/>
        <w:topLinePunct w:val="0"/>
        <w:bidi w:val="0"/>
        <w:spacing w:before="240" w:after="240" w:line="240" w:lineRule="auto"/>
        <w:ind w:leftChars="0" w:firstLine="420" w:firstLineChars="200"/>
        <w:rPr>
          <w:rFonts w:hint="default" w:ascii="Times New Roman" w:hAnsi="Times New Roman" w:cs="Times New Roman"/>
          <w:szCs w:val="21"/>
          <w:lang w:val="en-US" w:eastAsia="zh-CN"/>
        </w:rPr>
      </w:pPr>
      <w:r>
        <w:rPr>
          <w:rFonts w:hint="default" w:ascii="Times New Roman" w:hAnsi="Times New Roman" w:cs="Times New Roman"/>
          <w:lang w:val="en-US" w:eastAsia="zh-CN"/>
        </w:rPr>
        <w:t>评价结果依据</w:t>
      </w:r>
      <w:r>
        <w:rPr>
          <w:rFonts w:hint="eastAsia" w:ascii="Times New Roman" w:hAnsi="Times New Roman" w:cs="Times New Roman"/>
          <w:lang w:val="en-US" w:eastAsia="zh-CN"/>
        </w:rPr>
        <w:t>总</w:t>
      </w:r>
      <w:r>
        <w:rPr>
          <w:rFonts w:hint="default" w:ascii="Times New Roman" w:hAnsi="Times New Roman" w:cs="Times New Roman"/>
          <w:lang w:val="en-US" w:eastAsia="zh-CN"/>
        </w:rPr>
        <w:t>得分按表2可</w:t>
      </w:r>
      <w:r>
        <w:rPr>
          <w:rFonts w:hint="eastAsia" w:ascii="Times New Roman" w:hAnsi="Times New Roman" w:cs="Times New Roman"/>
          <w:lang w:val="en-US" w:eastAsia="zh-CN"/>
        </w:rPr>
        <w:t>划</w:t>
      </w:r>
      <w:r>
        <w:rPr>
          <w:rFonts w:hint="default" w:ascii="Times New Roman" w:hAnsi="Times New Roman" w:cs="Times New Roman"/>
          <w:lang w:val="en-US" w:eastAsia="zh-CN"/>
        </w:rPr>
        <w:t>分为</w:t>
      </w:r>
      <w:r>
        <w:rPr>
          <w:rFonts w:hint="eastAsia" w:ascii="Times New Roman" w:hAnsi="Times New Roman" w:cs="Times New Roman"/>
          <w:lang w:val="en-US" w:eastAsia="zh-CN"/>
        </w:rPr>
        <w:t>5</w:t>
      </w:r>
      <w:r>
        <w:rPr>
          <w:rFonts w:hint="default" w:ascii="Times New Roman" w:hAnsi="Times New Roman" w:cs="Times New Roman"/>
          <w:lang w:val="en-US" w:eastAsia="zh-CN"/>
        </w:rPr>
        <w:t>个等级。</w:t>
      </w:r>
    </w:p>
    <w:p w14:paraId="562F1830">
      <w:pPr>
        <w:pStyle w:val="34"/>
        <w:keepLines w:val="0"/>
        <w:kinsoku/>
        <w:wordWrap/>
        <w:overflowPunct/>
        <w:topLinePunct w:val="0"/>
        <w:bidi w:val="0"/>
        <w:spacing w:line="240" w:lineRule="auto"/>
      </w:pPr>
      <w:r>
        <w:rPr>
          <w:rFonts w:hint="eastAsia"/>
          <w:lang w:val="en-US" w:eastAsia="zh-CN"/>
        </w:rPr>
        <w:t>能源费用托管服务等级划分</w:t>
      </w:r>
    </w:p>
    <w:tbl>
      <w:tblPr>
        <w:tblStyle w:val="9"/>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0" w:type="dxa"/>
          <w:bottom w:w="0" w:type="dxa"/>
          <w:right w:w="100" w:type="dxa"/>
        </w:tblCellMar>
      </w:tblPr>
      <w:tblGrid>
        <w:gridCol w:w="4641"/>
        <w:gridCol w:w="4631"/>
      </w:tblGrid>
      <w:tr w14:paraId="49F89B6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tblHeader/>
          <w:jc w:val="center"/>
        </w:trPr>
        <w:tc>
          <w:tcPr>
            <w:tcW w:w="4785" w:type="dxa"/>
            <w:tcBorders>
              <w:bottom w:val="single" w:color="auto" w:sz="8" w:space="0"/>
            </w:tcBorders>
            <w:vAlign w:val="top"/>
          </w:tcPr>
          <w:p w14:paraId="3EEFC21A">
            <w:pPr>
              <w:pStyle w:val="35"/>
              <w:keepLines w:val="0"/>
              <w:kinsoku/>
              <w:wordWrap/>
              <w:overflowPunct/>
              <w:topLinePunct w:val="0"/>
              <w:bidi w:val="0"/>
              <w:spacing w:line="240" w:lineRule="auto"/>
              <w:jc w:val="center"/>
            </w:pPr>
            <w:r>
              <w:rPr>
                <w:rFonts w:hint="eastAsia"/>
                <w:lang w:val="en-US" w:eastAsia="zh-CN"/>
              </w:rPr>
              <w:t>服务等级</w:t>
            </w:r>
          </w:p>
        </w:tc>
        <w:tc>
          <w:tcPr>
            <w:tcW w:w="4785" w:type="dxa"/>
            <w:tcBorders>
              <w:bottom w:val="single" w:color="auto" w:sz="8" w:space="0"/>
            </w:tcBorders>
            <w:vAlign w:val="top"/>
          </w:tcPr>
          <w:p w14:paraId="4BEBC95F">
            <w:pPr>
              <w:pStyle w:val="35"/>
              <w:keepLines w:val="0"/>
              <w:kinsoku/>
              <w:wordWrap/>
              <w:overflowPunct/>
              <w:topLinePunct w:val="0"/>
              <w:bidi w:val="0"/>
              <w:spacing w:line="240" w:lineRule="auto"/>
              <w:jc w:val="center"/>
            </w:pPr>
            <w:r>
              <w:rPr>
                <w:rFonts w:hint="eastAsia"/>
                <w:lang w:val="en-US" w:eastAsia="zh-CN"/>
              </w:rPr>
              <w:t>划分依据</w:t>
            </w:r>
          </w:p>
        </w:tc>
      </w:tr>
      <w:tr w14:paraId="45FEAD0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4785" w:type="dxa"/>
            <w:tcBorders>
              <w:top w:val="single" w:color="auto" w:sz="8" w:space="0"/>
            </w:tcBorders>
            <w:vAlign w:val="top"/>
          </w:tcPr>
          <w:p w14:paraId="776E17C6">
            <w:pPr>
              <w:pStyle w:val="35"/>
              <w:keepLines w:val="0"/>
              <w:kinsoku/>
              <w:wordWrap/>
              <w:overflowPunct/>
              <w:topLinePunct w:val="0"/>
              <w:bidi w:val="0"/>
              <w:spacing w:line="240" w:lineRule="auto"/>
              <w:jc w:val="center"/>
            </w:pPr>
            <w:r>
              <w:rPr>
                <w:rFonts w:hint="eastAsia"/>
                <w:lang w:val="en-US" w:eastAsia="zh-CN"/>
              </w:rPr>
              <w:t>AAAAA</w:t>
            </w:r>
          </w:p>
        </w:tc>
        <w:tc>
          <w:tcPr>
            <w:tcW w:w="4785" w:type="dxa"/>
            <w:tcBorders>
              <w:top w:val="single" w:color="auto" w:sz="8" w:space="0"/>
            </w:tcBorders>
            <w:vAlign w:val="top"/>
          </w:tcPr>
          <w:p w14:paraId="64A2EFAB">
            <w:pPr>
              <w:pStyle w:val="35"/>
              <w:keepLines w:val="0"/>
              <w:kinsoku/>
              <w:wordWrap/>
              <w:overflowPunct/>
              <w:topLinePunct w:val="0"/>
              <w:bidi w:val="0"/>
              <w:spacing w:line="240" w:lineRule="auto"/>
              <w:jc w:val="center"/>
            </w:pPr>
            <m:oMath>
              <m:r>
                <m:rPr>
                  <m:sty m:val="p"/>
                </m:rPr>
                <w:rPr>
                  <w:rFonts w:hint="default" w:ascii="Cambria Math" w:hAnsi="Cambria Math"/>
                  <w:lang w:val="en-US" w:eastAsia="zh-CN"/>
                </w:rPr>
                <m:t>S</m:t>
              </m:r>
            </m:oMath>
            <w:r>
              <w:rPr>
                <w:rFonts w:hint="eastAsia"/>
                <w:lang w:val="en-US" w:eastAsia="zh-CN"/>
              </w:rPr>
              <w:t>≥90</w:t>
            </w:r>
          </w:p>
        </w:tc>
      </w:tr>
      <w:tr w14:paraId="4EECC8A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4785" w:type="dxa"/>
            <w:vAlign w:val="top"/>
          </w:tcPr>
          <w:p w14:paraId="174C736E">
            <w:pPr>
              <w:pStyle w:val="35"/>
              <w:keepLines w:val="0"/>
              <w:kinsoku/>
              <w:wordWrap/>
              <w:overflowPunct/>
              <w:topLinePunct w:val="0"/>
              <w:bidi w:val="0"/>
              <w:spacing w:line="240" w:lineRule="auto"/>
              <w:jc w:val="center"/>
            </w:pPr>
            <w:r>
              <w:rPr>
                <w:rFonts w:hint="eastAsia"/>
                <w:lang w:val="en-US" w:eastAsia="zh-CN"/>
              </w:rPr>
              <w:t>AAAA</w:t>
            </w:r>
          </w:p>
        </w:tc>
        <w:tc>
          <w:tcPr>
            <w:tcW w:w="4785" w:type="dxa"/>
            <w:vAlign w:val="top"/>
          </w:tcPr>
          <w:p w14:paraId="70BE8D90">
            <w:pPr>
              <w:pStyle w:val="35"/>
              <w:keepLines w:val="0"/>
              <w:kinsoku/>
              <w:wordWrap/>
              <w:overflowPunct/>
              <w:topLinePunct w:val="0"/>
              <w:bidi w:val="0"/>
              <w:spacing w:line="240" w:lineRule="auto"/>
              <w:jc w:val="center"/>
            </w:pPr>
            <w:r>
              <w:rPr>
                <w:rFonts w:hint="eastAsia"/>
                <w:lang w:val="en-US" w:eastAsia="zh-CN"/>
              </w:rPr>
              <w:t>90＞</w:t>
            </w:r>
            <m:oMath>
              <m:r>
                <m:rPr>
                  <m:sty m:val="p"/>
                </m:rPr>
                <w:rPr>
                  <w:rFonts w:hint="default" w:ascii="Cambria Math" w:hAnsi="Cambria Math"/>
                  <w:lang w:val="en-US" w:eastAsia="zh-CN"/>
                </w:rPr>
                <m:t>S</m:t>
              </m:r>
            </m:oMath>
            <w:r>
              <w:rPr>
                <w:rFonts w:hint="eastAsia"/>
                <w:lang w:val="en-US" w:eastAsia="zh-CN"/>
              </w:rPr>
              <w:t>≥80</w:t>
            </w:r>
          </w:p>
        </w:tc>
      </w:tr>
      <w:tr w14:paraId="60133DF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4785" w:type="dxa"/>
            <w:vAlign w:val="top"/>
          </w:tcPr>
          <w:p w14:paraId="27A25CBB">
            <w:pPr>
              <w:pStyle w:val="35"/>
              <w:keepLines w:val="0"/>
              <w:kinsoku/>
              <w:wordWrap/>
              <w:overflowPunct/>
              <w:topLinePunct w:val="0"/>
              <w:bidi w:val="0"/>
              <w:spacing w:line="240" w:lineRule="auto"/>
              <w:jc w:val="center"/>
            </w:pPr>
            <w:r>
              <w:rPr>
                <w:rFonts w:hint="eastAsia"/>
                <w:lang w:val="en-US" w:eastAsia="zh-CN"/>
              </w:rPr>
              <w:t>AAA</w:t>
            </w:r>
          </w:p>
        </w:tc>
        <w:tc>
          <w:tcPr>
            <w:tcW w:w="4785" w:type="dxa"/>
            <w:vAlign w:val="top"/>
          </w:tcPr>
          <w:p w14:paraId="522B9C73">
            <w:pPr>
              <w:pStyle w:val="35"/>
              <w:keepLines w:val="0"/>
              <w:kinsoku/>
              <w:wordWrap/>
              <w:overflowPunct/>
              <w:topLinePunct w:val="0"/>
              <w:bidi w:val="0"/>
              <w:spacing w:line="240" w:lineRule="auto"/>
              <w:jc w:val="center"/>
            </w:pPr>
            <w:r>
              <w:rPr>
                <w:rFonts w:hint="eastAsia"/>
                <w:lang w:val="en-US" w:eastAsia="zh-CN"/>
              </w:rPr>
              <w:t>80＞</w:t>
            </w:r>
            <m:oMath>
              <m:r>
                <m:rPr>
                  <m:sty m:val="p"/>
                </m:rPr>
                <w:rPr>
                  <w:rFonts w:hint="default" w:ascii="Cambria Math" w:hAnsi="Cambria Math"/>
                  <w:lang w:val="en-US" w:eastAsia="zh-CN"/>
                </w:rPr>
                <m:t>S</m:t>
              </m:r>
            </m:oMath>
            <w:r>
              <w:rPr>
                <w:rFonts w:hint="eastAsia"/>
                <w:lang w:val="en-US" w:eastAsia="zh-CN"/>
              </w:rPr>
              <w:t>≥70</w:t>
            </w:r>
          </w:p>
        </w:tc>
      </w:tr>
      <w:tr w14:paraId="1287C93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4785" w:type="dxa"/>
            <w:vAlign w:val="top"/>
          </w:tcPr>
          <w:p w14:paraId="543DC2F0">
            <w:pPr>
              <w:pStyle w:val="35"/>
              <w:keepLines w:val="0"/>
              <w:kinsoku/>
              <w:wordWrap/>
              <w:overflowPunct/>
              <w:topLinePunct w:val="0"/>
              <w:bidi w:val="0"/>
              <w:spacing w:line="240" w:lineRule="auto"/>
              <w:jc w:val="center"/>
            </w:pPr>
            <w:r>
              <w:rPr>
                <w:rFonts w:hint="eastAsia"/>
                <w:lang w:val="en-US" w:eastAsia="zh-CN"/>
              </w:rPr>
              <w:t>AA</w:t>
            </w:r>
          </w:p>
        </w:tc>
        <w:tc>
          <w:tcPr>
            <w:tcW w:w="4785" w:type="dxa"/>
            <w:vAlign w:val="top"/>
          </w:tcPr>
          <w:p w14:paraId="2F0ECEFB">
            <w:pPr>
              <w:pStyle w:val="35"/>
              <w:keepLines w:val="0"/>
              <w:kinsoku/>
              <w:wordWrap/>
              <w:overflowPunct/>
              <w:topLinePunct w:val="0"/>
              <w:bidi w:val="0"/>
              <w:spacing w:line="240" w:lineRule="auto"/>
              <w:jc w:val="center"/>
            </w:pPr>
            <w:r>
              <w:rPr>
                <w:rFonts w:hint="eastAsia"/>
                <w:lang w:val="en-US" w:eastAsia="zh-CN"/>
              </w:rPr>
              <w:t>70＞</w:t>
            </w:r>
            <m:oMath>
              <m:r>
                <m:rPr>
                  <m:sty m:val="p"/>
                </m:rPr>
                <w:rPr>
                  <w:rFonts w:hint="default" w:ascii="Cambria Math" w:hAnsi="Cambria Math"/>
                  <w:lang w:val="en-US" w:eastAsia="zh-CN"/>
                </w:rPr>
                <m:t>S</m:t>
              </m:r>
            </m:oMath>
            <w:r>
              <w:rPr>
                <w:rFonts w:hint="eastAsia"/>
                <w:lang w:val="en-US" w:eastAsia="zh-CN"/>
              </w:rPr>
              <w:t>≥60</w:t>
            </w:r>
          </w:p>
        </w:tc>
      </w:tr>
      <w:tr w14:paraId="7675BE1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4785" w:type="dxa"/>
            <w:vAlign w:val="top"/>
          </w:tcPr>
          <w:p w14:paraId="06329045">
            <w:pPr>
              <w:pStyle w:val="35"/>
              <w:keepLines w:val="0"/>
              <w:kinsoku/>
              <w:wordWrap/>
              <w:overflowPunct/>
              <w:topLinePunct w:val="0"/>
              <w:bidi w:val="0"/>
              <w:spacing w:line="240" w:lineRule="auto"/>
              <w:jc w:val="center"/>
            </w:pPr>
            <w:r>
              <w:rPr>
                <w:rFonts w:hint="eastAsia"/>
                <w:lang w:val="en-US" w:eastAsia="zh-CN"/>
              </w:rPr>
              <w:t>A</w:t>
            </w:r>
          </w:p>
        </w:tc>
        <w:tc>
          <w:tcPr>
            <w:tcW w:w="4785" w:type="dxa"/>
            <w:vAlign w:val="top"/>
          </w:tcPr>
          <w:p w14:paraId="294F5ED5">
            <w:pPr>
              <w:pStyle w:val="35"/>
              <w:keepLines w:val="0"/>
              <w:kinsoku/>
              <w:wordWrap/>
              <w:overflowPunct/>
              <w:topLinePunct w:val="0"/>
              <w:bidi w:val="0"/>
              <w:spacing w:line="240" w:lineRule="auto"/>
              <w:jc w:val="center"/>
            </w:pPr>
            <w:r>
              <w:rPr>
                <w:rFonts w:hint="eastAsia"/>
                <w:lang w:val="en-US" w:eastAsia="zh-CN"/>
              </w:rPr>
              <w:t>60＞</w:t>
            </w:r>
            <m:oMath>
              <m:r>
                <m:rPr>
                  <m:sty m:val="p"/>
                </m:rPr>
                <w:rPr>
                  <w:rFonts w:hint="default" w:ascii="Cambria Math" w:hAnsi="Cambria Math"/>
                  <w:lang w:val="en-US" w:eastAsia="zh-CN"/>
                </w:rPr>
                <m:t>S</m:t>
              </m:r>
            </m:oMath>
            <w:r>
              <w:rPr>
                <w:rFonts w:hint="eastAsia"/>
                <w:lang w:val="en-US" w:eastAsia="zh-CN"/>
              </w:rPr>
              <w:t>≥50</w:t>
            </w:r>
          </w:p>
        </w:tc>
      </w:tr>
    </w:tbl>
    <w:p w14:paraId="3B039946">
      <w:pPr>
        <w:pStyle w:val="15"/>
        <w:keepLines w:val="0"/>
        <w:kinsoku/>
        <w:wordWrap/>
        <w:overflowPunct/>
        <w:topLinePunct w:val="0"/>
        <w:bidi w:val="0"/>
        <w:spacing w:line="240" w:lineRule="auto"/>
      </w:pPr>
    </w:p>
    <w:p w14:paraId="5C17CD63">
      <w:pPr>
        <w:keepLines w:val="0"/>
        <w:kinsoku/>
        <w:wordWrap/>
        <w:overflowPunct/>
        <w:topLinePunct w:val="0"/>
        <w:bidi w:val="0"/>
        <w:spacing w:line="240" w:lineRule="auto"/>
        <w:rPr>
          <w:rFonts w:hint="eastAsia" w:cs="Times New Roman"/>
          <w:szCs w:val="21"/>
          <w:lang w:val="en-US" w:eastAsia="zh-CN"/>
        </w:rPr>
      </w:pPr>
      <w:r>
        <w:rPr>
          <w:rFonts w:hint="eastAsia" w:cs="Times New Roman"/>
          <w:szCs w:val="21"/>
          <w:lang w:val="en-US" w:eastAsia="zh-CN"/>
        </w:rPr>
        <w:br w:type="page"/>
      </w:r>
    </w:p>
    <w:p w14:paraId="122AC7CA">
      <w:pPr>
        <w:pStyle w:val="19"/>
        <w:keepLines w:val="0"/>
        <w:kinsoku/>
        <w:wordWrap/>
        <w:overflowPunct/>
        <w:topLinePunct w:val="0"/>
        <w:bidi w:val="0"/>
        <w:spacing w:line="240" w:lineRule="auto"/>
        <w:rPr>
          <w:rFonts w:hint="eastAsia" w:ascii="黑体" w:hAnsi="黑体" w:eastAsia="黑体" w:cs="黑体"/>
        </w:rPr>
      </w:pPr>
      <w:bookmarkStart w:id="45" w:name="_Toc10988"/>
      <w:bookmarkEnd w:id="45"/>
    </w:p>
    <w:p w14:paraId="09FF354C">
      <w:pPr>
        <w:pStyle w:val="20"/>
        <w:keepLines w:val="0"/>
        <w:kinsoku/>
        <w:wordWrap/>
        <w:overflowPunct/>
        <w:topLinePunct w:val="0"/>
        <w:bidi w:val="0"/>
        <w:spacing w:beforeLines="0" w:afterLines="0" w:line="240" w:lineRule="auto"/>
        <w:ind w:firstLineChars="0"/>
        <w:rPr>
          <w:rFonts w:hint="eastAsia" w:ascii="黑体" w:hAnsi="黑体" w:eastAsia="黑体" w:cs="黑体"/>
          <w:szCs w:val="21"/>
        </w:rPr>
      </w:pPr>
      <w:bookmarkStart w:id="46" w:name="_Toc11016"/>
      <w:bookmarkStart w:id="47" w:name="_Toc7845"/>
      <w:bookmarkStart w:id="48" w:name="_Toc207832840"/>
      <w:r>
        <w:rPr>
          <w:rFonts w:hint="eastAsia" w:ascii="黑体" w:hAnsi="黑体" w:eastAsia="黑体" w:cs="黑体"/>
        </w:rPr>
        <w:t>（资料性）</w:t>
      </w:r>
      <w:bookmarkEnd w:id="46"/>
      <w:bookmarkEnd w:id="47"/>
      <w:bookmarkEnd w:id="48"/>
      <w:bookmarkStart w:id="49" w:name="bookmark29"/>
      <w:bookmarkEnd w:id="49"/>
      <w:bookmarkStart w:id="50" w:name="_Toc207832841"/>
    </w:p>
    <w:bookmarkEnd w:id="50"/>
    <w:p w14:paraId="097926D8">
      <w:pPr>
        <w:pStyle w:val="20"/>
        <w:keepLines w:val="0"/>
        <w:kinsoku/>
        <w:wordWrap/>
        <w:overflowPunct/>
        <w:topLinePunct w:val="0"/>
        <w:bidi w:val="0"/>
        <w:spacing w:beforeLines="0" w:afterLines="0" w:line="240" w:lineRule="auto"/>
        <w:ind w:firstLineChars="0"/>
        <w:rPr>
          <w:rFonts w:hint="default" w:ascii="黑体" w:hAnsi="黑体" w:eastAsia="黑体" w:cs="黑体"/>
          <w:szCs w:val="21"/>
          <w:lang w:val="en-US" w:eastAsia="zh-CN"/>
        </w:rPr>
      </w:pPr>
      <w:bookmarkStart w:id="51" w:name="bookmark30"/>
      <w:bookmarkEnd w:id="51"/>
      <w:bookmarkStart w:id="52" w:name="_Toc21015"/>
      <w:bookmarkStart w:id="53" w:name="_Toc207832842"/>
      <w:r>
        <w:rPr>
          <w:rFonts w:hint="eastAsia" w:hAnsi="黑体" w:cs="黑体"/>
          <w:szCs w:val="21"/>
          <w:lang w:val="en-US" w:eastAsia="zh-CN"/>
        </w:rPr>
        <w:t>能源费用托管服务评价指标体系及赋值示例</w:t>
      </w:r>
      <w:bookmarkEnd w:id="52"/>
    </w:p>
    <w:bookmarkEnd w:id="53"/>
    <w:p w14:paraId="41DA2EBA">
      <w:pPr>
        <w:pStyle w:val="15"/>
        <w:keepLines w:val="0"/>
        <w:numPr>
          <w:ilvl w:val="-1"/>
          <w:numId w:val="0"/>
        </w:numPr>
        <w:kinsoku/>
        <w:wordWrap/>
        <w:overflowPunct/>
        <w:topLinePunct w:val="0"/>
        <w:bidi w:val="0"/>
        <w:spacing w:before="0" w:beforeLines="0" w:after="0" w:afterLines="0" w:line="240" w:lineRule="auto"/>
        <w:ind w:left="0" w:firstLine="420" w:firstLineChars="200"/>
        <w:jc w:val="left"/>
        <w:rPr>
          <w:rFonts w:hint="eastAsia" w:ascii="Times New Roman" w:hAnsi="Times New Roman" w:cs="Times New Roman"/>
          <w:lang w:val="en-US" w:eastAsia="zh-CN"/>
        </w:rPr>
      </w:pPr>
      <w:bookmarkStart w:id="54" w:name="_Toc24805"/>
      <w:bookmarkEnd w:id="54"/>
      <w:r>
        <w:rPr>
          <w:rFonts w:hint="eastAsia" w:ascii="Times New Roman" w:cs="Times New Roman"/>
          <w:lang w:val="en-US" w:eastAsia="zh-CN"/>
        </w:rPr>
        <w:t>表A.1给出了能源费用托管服务评价指标体系权重赋值示例。示例中的指标体系由3个一级指标、15个二级指标组成。</w:t>
      </w:r>
    </w:p>
    <w:p w14:paraId="44B6E5F0">
      <w:pPr>
        <w:pStyle w:val="38"/>
        <w:keepLines w:val="0"/>
        <w:kinsoku/>
        <w:wordWrap/>
        <w:overflowPunct/>
        <w:topLinePunct w:val="0"/>
        <w:bidi w:val="0"/>
        <w:spacing w:line="240" w:lineRule="auto"/>
        <w:rPr>
          <w:rFonts w:hint="eastAsia" w:ascii="黑体" w:hAnsi="Times New Roman" w:cs="Times New Roman"/>
          <w:b w:val="0"/>
          <w:bCs w:val="0"/>
          <w:kern w:val="21"/>
          <w:szCs w:val="20"/>
          <w:lang w:val="en-US" w:eastAsia="zh-CN"/>
        </w:rPr>
      </w:pPr>
      <w:bookmarkStart w:id="55" w:name="_Toc26469"/>
      <w:bookmarkStart w:id="56" w:name="_Toc207832854"/>
      <w:r>
        <w:rPr>
          <w:rFonts w:hint="eastAsia" w:cs="Times New Roman"/>
          <w:b w:val="0"/>
          <w:bCs w:val="0"/>
          <w:kern w:val="21"/>
          <w:szCs w:val="20"/>
          <w:lang w:val="en-US" w:eastAsia="zh-CN"/>
        </w:rPr>
        <w:t>能源费用托管服务评价指标体系权重赋值示例</w:t>
      </w:r>
    </w:p>
    <w:tbl>
      <w:tblPr>
        <w:tblStyle w:val="9"/>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0" w:type="dxa"/>
          <w:bottom w:w="0" w:type="dxa"/>
          <w:right w:w="100" w:type="dxa"/>
        </w:tblCellMar>
      </w:tblPr>
      <w:tblGrid>
        <w:gridCol w:w="1039"/>
        <w:gridCol w:w="1361"/>
        <w:gridCol w:w="940"/>
        <w:gridCol w:w="5930"/>
      </w:tblGrid>
      <w:tr w14:paraId="4AC10CA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tblHeader/>
          <w:jc w:val="center"/>
        </w:trPr>
        <w:tc>
          <w:tcPr>
            <w:tcW w:w="1039" w:type="dxa"/>
            <w:tcBorders>
              <w:bottom w:val="single" w:color="auto" w:sz="8" w:space="0"/>
            </w:tcBorders>
            <w:vAlign w:val="center"/>
          </w:tcPr>
          <w:p w14:paraId="294A5ACD">
            <w:pPr>
              <w:pStyle w:val="35"/>
              <w:keepLines w:val="0"/>
              <w:kinsoku/>
              <w:wordWrap/>
              <w:overflowPunct/>
              <w:topLinePunct w:val="0"/>
              <w:bidi w:val="0"/>
              <w:spacing w:line="240" w:lineRule="auto"/>
              <w:jc w:val="center"/>
              <w:rPr>
                <w:rFonts w:hint="default" w:eastAsia="宋体"/>
                <w:lang w:val="en-US" w:eastAsia="zh-CN"/>
              </w:rPr>
            </w:pPr>
            <w:r>
              <w:rPr>
                <w:rFonts w:hint="eastAsia"/>
                <w:lang w:val="en-US" w:eastAsia="zh-CN"/>
              </w:rPr>
              <w:t>一级指标及权重</w:t>
            </w:r>
          </w:p>
        </w:tc>
        <w:tc>
          <w:tcPr>
            <w:tcW w:w="1361" w:type="dxa"/>
            <w:tcBorders>
              <w:bottom w:val="single" w:color="auto" w:sz="8" w:space="0"/>
            </w:tcBorders>
            <w:vAlign w:val="center"/>
          </w:tcPr>
          <w:p w14:paraId="38252701">
            <w:pPr>
              <w:pStyle w:val="35"/>
              <w:keepLines w:val="0"/>
              <w:kinsoku/>
              <w:wordWrap/>
              <w:overflowPunct/>
              <w:topLinePunct w:val="0"/>
              <w:bidi w:val="0"/>
              <w:spacing w:line="240" w:lineRule="auto"/>
              <w:jc w:val="center"/>
              <w:rPr>
                <w:rFonts w:hint="default" w:eastAsia="宋体"/>
                <w:lang w:val="en-US" w:eastAsia="zh-CN"/>
              </w:rPr>
            </w:pPr>
            <w:r>
              <w:rPr>
                <w:rFonts w:hint="eastAsia"/>
                <w:lang w:val="en-US" w:eastAsia="zh-CN"/>
              </w:rPr>
              <w:t>二级指标</w:t>
            </w:r>
          </w:p>
        </w:tc>
        <w:tc>
          <w:tcPr>
            <w:tcW w:w="940" w:type="dxa"/>
            <w:tcBorders>
              <w:bottom w:val="single" w:color="auto" w:sz="8" w:space="0"/>
            </w:tcBorders>
            <w:vAlign w:val="center"/>
          </w:tcPr>
          <w:p w14:paraId="31F847BA">
            <w:pPr>
              <w:pStyle w:val="35"/>
              <w:keepLines w:val="0"/>
              <w:kinsoku/>
              <w:wordWrap/>
              <w:overflowPunct/>
              <w:topLinePunct w:val="0"/>
              <w:bidi w:val="0"/>
              <w:spacing w:line="240" w:lineRule="auto"/>
              <w:jc w:val="center"/>
              <w:rPr>
                <w:rFonts w:hint="default"/>
                <w:lang w:val="en-US" w:eastAsia="zh-CN"/>
              </w:rPr>
            </w:pPr>
            <w:r>
              <w:rPr>
                <w:rFonts w:hint="eastAsia"/>
                <w:lang w:val="en-US" w:eastAsia="zh-CN"/>
              </w:rPr>
              <w:t>指标赋值</w:t>
            </w:r>
          </w:p>
        </w:tc>
        <w:tc>
          <w:tcPr>
            <w:tcW w:w="5930" w:type="dxa"/>
            <w:tcBorders>
              <w:bottom w:val="single" w:color="auto" w:sz="8" w:space="0"/>
            </w:tcBorders>
            <w:vAlign w:val="center"/>
          </w:tcPr>
          <w:p w14:paraId="6FAAA043">
            <w:pPr>
              <w:pStyle w:val="35"/>
              <w:keepLines w:val="0"/>
              <w:kinsoku/>
              <w:wordWrap/>
              <w:overflowPunct/>
              <w:topLinePunct w:val="0"/>
              <w:bidi w:val="0"/>
              <w:spacing w:line="240" w:lineRule="auto"/>
              <w:jc w:val="center"/>
              <w:rPr>
                <w:rFonts w:hint="default" w:eastAsia="宋体"/>
                <w:lang w:val="en-US" w:eastAsia="zh-CN"/>
              </w:rPr>
            </w:pPr>
            <w:r>
              <w:rPr>
                <w:rFonts w:hint="eastAsia"/>
                <w:lang w:val="en-US" w:eastAsia="zh-CN"/>
              </w:rPr>
              <w:t>指标说明</w:t>
            </w:r>
          </w:p>
        </w:tc>
      </w:tr>
      <w:tr w14:paraId="0E02F07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1039" w:type="dxa"/>
            <w:vMerge w:val="restart"/>
            <w:tcBorders>
              <w:top w:val="single" w:color="auto" w:sz="8" w:space="0"/>
            </w:tcBorders>
            <w:vAlign w:val="center"/>
          </w:tcPr>
          <w:p w14:paraId="2A5C935E">
            <w:pPr>
              <w:pStyle w:val="35"/>
              <w:keepLines w:val="0"/>
              <w:kinsoku/>
              <w:wordWrap/>
              <w:overflowPunct/>
              <w:topLinePunct w:val="0"/>
              <w:bidi w:val="0"/>
              <w:spacing w:line="240" w:lineRule="auto"/>
              <w:jc w:val="center"/>
              <w:rPr>
                <w:rFonts w:hint="eastAsia"/>
                <w:lang w:val="en-US" w:eastAsia="zh-CN"/>
              </w:rPr>
            </w:pPr>
            <w:r>
              <w:rPr>
                <w:rFonts w:hint="eastAsia"/>
                <w:lang w:val="en-US" w:eastAsia="zh-CN"/>
              </w:rPr>
              <w:t>服务能力</w:t>
            </w:r>
          </w:p>
          <w:p w14:paraId="7E2E5E72">
            <w:pPr>
              <w:pStyle w:val="35"/>
              <w:keepLines w:val="0"/>
              <w:kinsoku/>
              <w:wordWrap/>
              <w:overflowPunct/>
              <w:topLinePunct w:val="0"/>
              <w:bidi w:val="0"/>
              <w:spacing w:line="240" w:lineRule="auto"/>
              <w:jc w:val="center"/>
              <w:rPr>
                <w:rFonts w:hint="default"/>
                <w:lang w:val="en-US" w:eastAsia="zh-CN"/>
              </w:rPr>
            </w:pPr>
            <w:r>
              <w:rPr>
                <w:rFonts w:hint="eastAsia"/>
                <w:lang w:val="en-US" w:eastAsia="zh-CN"/>
              </w:rPr>
              <w:t>（40%）</w:t>
            </w:r>
          </w:p>
        </w:tc>
        <w:tc>
          <w:tcPr>
            <w:tcW w:w="1361" w:type="dxa"/>
            <w:tcBorders>
              <w:top w:val="single" w:color="auto" w:sz="8" w:space="0"/>
            </w:tcBorders>
            <w:vAlign w:val="center"/>
          </w:tcPr>
          <w:p w14:paraId="7600DD1E">
            <w:pPr>
              <w:pStyle w:val="35"/>
              <w:keepLines w:val="0"/>
              <w:kinsoku/>
              <w:wordWrap/>
              <w:overflowPunct/>
              <w:topLinePunct w:val="0"/>
              <w:bidi w:val="0"/>
              <w:spacing w:line="240" w:lineRule="auto"/>
              <w:jc w:val="center"/>
              <w:rPr>
                <w:rFonts w:hint="default" w:eastAsia="宋体"/>
                <w:lang w:val="en-US" w:eastAsia="zh-CN"/>
              </w:rPr>
            </w:pPr>
            <w:r>
              <w:rPr>
                <w:rFonts w:hint="eastAsia"/>
                <w:lang w:val="en-US" w:eastAsia="zh-CN"/>
              </w:rPr>
              <w:t>技术提供能力</w:t>
            </w:r>
          </w:p>
        </w:tc>
        <w:tc>
          <w:tcPr>
            <w:tcW w:w="940" w:type="dxa"/>
            <w:tcBorders>
              <w:top w:val="single" w:color="auto" w:sz="8" w:space="0"/>
            </w:tcBorders>
            <w:vAlign w:val="center"/>
          </w:tcPr>
          <w:p w14:paraId="0D20F29B">
            <w:pPr>
              <w:pStyle w:val="35"/>
              <w:keepLines w:val="0"/>
              <w:kinsoku/>
              <w:wordWrap/>
              <w:overflowPunct/>
              <w:topLinePunct w:val="0"/>
              <w:bidi w:val="0"/>
              <w:spacing w:line="240" w:lineRule="auto"/>
              <w:jc w:val="center"/>
              <w:rPr>
                <w:rFonts w:hint="default"/>
                <w:lang w:val="en-US" w:eastAsia="zh-CN"/>
              </w:rPr>
            </w:pPr>
            <w:r>
              <w:rPr>
                <w:rFonts w:hint="eastAsia" w:ascii="宋体" w:hAnsi="宋体" w:eastAsia="宋体" w:cs="宋体"/>
                <w:lang w:val="en-US" w:eastAsia="zh-CN"/>
              </w:rPr>
              <w:t>0～20分</w:t>
            </w:r>
          </w:p>
        </w:tc>
        <w:tc>
          <w:tcPr>
            <w:tcW w:w="5930" w:type="dxa"/>
            <w:tcBorders>
              <w:top w:val="single" w:color="auto" w:sz="8" w:space="0"/>
            </w:tcBorders>
            <w:vAlign w:val="center"/>
          </w:tcPr>
          <w:p w14:paraId="170B596C">
            <w:pPr>
              <w:pStyle w:val="35"/>
              <w:keepLines w:val="0"/>
              <w:kinsoku/>
              <w:wordWrap/>
              <w:overflowPunct/>
              <w:topLinePunct w:val="0"/>
              <w:bidi w:val="0"/>
              <w:spacing w:line="240" w:lineRule="auto"/>
              <w:jc w:val="left"/>
              <w:rPr>
                <w:rFonts w:hint="default" w:ascii="Times New Roman" w:hAnsi="Times New Roman" w:eastAsia="宋体" w:cs="Times New Roman"/>
                <w:lang w:val="en-US" w:eastAsia="zh-CN"/>
              </w:rPr>
            </w:pPr>
            <w:r>
              <w:rPr>
                <w:rFonts w:hint="eastAsia"/>
                <w:lang w:val="en-US" w:eastAsia="zh-CN"/>
              </w:rPr>
              <w:t>11</w:t>
            </w:r>
            <w:r>
              <w:rPr>
                <w:rFonts w:hint="eastAsia" w:ascii="宋体" w:hAnsi="宋体" w:eastAsia="宋体" w:cs="宋体"/>
                <w:lang w:val="en-US" w:eastAsia="zh-CN"/>
              </w:rPr>
              <w:t>～</w:t>
            </w:r>
            <w:r>
              <w:rPr>
                <w:rFonts w:hint="eastAsia" w:hAnsi="宋体" w:cs="宋体"/>
                <w:lang w:val="en-US" w:eastAsia="zh-CN"/>
              </w:rPr>
              <w:t>20分。</w:t>
            </w:r>
            <w:r>
              <w:rPr>
                <w:rFonts w:hint="eastAsia"/>
                <w:lang w:val="en-US" w:eastAsia="zh-CN"/>
              </w:rPr>
              <w:t>节能服务公司</w:t>
            </w:r>
            <w:r>
              <w:rPr>
                <w:rFonts w:hint="eastAsia" w:ascii="Times New Roman" w:hAnsi="Times New Roman" w:eastAsia="宋体" w:cs="Times New Roman"/>
                <w:lang w:val="en-US" w:eastAsia="zh-CN"/>
              </w:rPr>
              <w:t>具备</w:t>
            </w:r>
            <w:r>
              <w:rPr>
                <w:rFonts w:hint="eastAsia" w:ascii="Times New Roman" w:cs="Times New Roman"/>
                <w:lang w:val="en-US" w:eastAsia="zh-CN"/>
              </w:rPr>
              <w:t>较强的</w:t>
            </w:r>
            <w:r>
              <w:rPr>
                <w:rFonts w:hint="eastAsia" w:ascii="Times New Roman" w:hAnsi="Times New Roman" w:eastAsia="宋体" w:cs="Times New Roman"/>
                <w:lang w:val="en-US" w:eastAsia="zh-CN"/>
              </w:rPr>
              <w:t>节能方案设计、建设或改造、管理和维护等方面的技术能力。</w:t>
            </w:r>
            <w:r>
              <w:rPr>
                <w:rFonts w:hint="eastAsia" w:ascii="Times New Roman" w:cs="Times New Roman"/>
                <w:lang w:val="en-US" w:eastAsia="zh-CN"/>
              </w:rPr>
              <w:t>拥有5项以上自主研发的专利技术（其中发明专利不少于2项），或曾获得过省部级以上节能相关科技奖项。</w:t>
            </w:r>
          </w:p>
          <w:p w14:paraId="27B8227C">
            <w:pPr>
              <w:pStyle w:val="35"/>
              <w:keepLines w:val="0"/>
              <w:kinsoku/>
              <w:wordWrap/>
              <w:overflowPunct/>
              <w:topLinePunct w:val="0"/>
              <w:bidi w:val="0"/>
              <w:spacing w:line="240" w:lineRule="auto"/>
              <w:jc w:val="left"/>
              <w:rPr>
                <w:rFonts w:hint="default" w:ascii="Times New Roman" w:hAnsi="Times New Roman" w:eastAsia="宋体" w:cs="Times New Roman"/>
                <w:lang w:val="en-US" w:eastAsia="zh-CN"/>
              </w:rPr>
            </w:pPr>
            <w:r>
              <w:rPr>
                <w:rFonts w:hint="eastAsia" w:ascii="Times New Roman" w:cs="Times New Roman"/>
                <w:lang w:val="en-US" w:eastAsia="zh-CN"/>
              </w:rPr>
              <w:t>0</w:t>
            </w:r>
            <w:r>
              <w:rPr>
                <w:rFonts w:hint="eastAsia" w:ascii="宋体" w:hAnsi="宋体" w:eastAsia="宋体" w:cs="宋体"/>
                <w:lang w:val="en-US" w:eastAsia="zh-CN"/>
              </w:rPr>
              <w:t>～</w:t>
            </w:r>
            <w:r>
              <w:rPr>
                <w:rFonts w:hint="eastAsia" w:hAnsi="宋体" w:cs="宋体"/>
                <w:lang w:val="en-US" w:eastAsia="zh-CN"/>
              </w:rPr>
              <w:t>10分。节能服务公司具备一定的</w:t>
            </w:r>
            <w:r>
              <w:rPr>
                <w:rFonts w:hint="eastAsia" w:ascii="Times New Roman" w:hAnsi="Times New Roman" w:eastAsia="宋体" w:cs="Times New Roman"/>
                <w:lang w:val="en-US" w:eastAsia="zh-CN"/>
              </w:rPr>
              <w:t>节能方案设计、建设或改造、管理和维护等方面的技术能力。</w:t>
            </w:r>
            <w:r>
              <w:rPr>
                <w:rFonts w:hint="eastAsia" w:ascii="Times New Roman" w:cs="Times New Roman"/>
                <w:lang w:val="en-US" w:eastAsia="zh-CN"/>
              </w:rPr>
              <w:t>拥有至少1项自主研发专利技术，或具有一定的的技术整合能力和应用经验。</w:t>
            </w:r>
          </w:p>
        </w:tc>
      </w:tr>
      <w:tr w14:paraId="698159E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1039" w:type="dxa"/>
            <w:vMerge w:val="continue"/>
            <w:vAlign w:val="center"/>
          </w:tcPr>
          <w:p w14:paraId="0E914AD7">
            <w:pPr>
              <w:pStyle w:val="35"/>
              <w:keepLines w:val="0"/>
              <w:kinsoku/>
              <w:wordWrap/>
              <w:overflowPunct/>
              <w:topLinePunct w:val="0"/>
              <w:bidi w:val="0"/>
              <w:spacing w:line="240" w:lineRule="auto"/>
              <w:jc w:val="center"/>
            </w:pPr>
          </w:p>
        </w:tc>
        <w:tc>
          <w:tcPr>
            <w:tcW w:w="1361" w:type="dxa"/>
            <w:vAlign w:val="center"/>
          </w:tcPr>
          <w:p w14:paraId="01CC2B73">
            <w:pPr>
              <w:pStyle w:val="35"/>
              <w:keepLines w:val="0"/>
              <w:kinsoku/>
              <w:wordWrap/>
              <w:overflowPunct/>
              <w:topLinePunct w:val="0"/>
              <w:bidi w:val="0"/>
              <w:spacing w:line="240" w:lineRule="auto"/>
              <w:jc w:val="center"/>
            </w:pPr>
            <w:r>
              <w:rPr>
                <w:rFonts w:hint="eastAsia" w:ascii="Times New Roman" w:hAnsi="Times New Roman" w:eastAsia="宋体" w:cs="Times New Roman"/>
                <w:lang w:val="en-US" w:eastAsia="zh-CN"/>
              </w:rPr>
              <w:t>人员资源配置</w:t>
            </w:r>
          </w:p>
        </w:tc>
        <w:tc>
          <w:tcPr>
            <w:tcW w:w="940" w:type="dxa"/>
            <w:vAlign w:val="center"/>
          </w:tcPr>
          <w:p w14:paraId="0943F874">
            <w:pPr>
              <w:pStyle w:val="35"/>
              <w:keepLines w:val="0"/>
              <w:kinsoku/>
              <w:wordWrap/>
              <w:overflowPunct/>
              <w:topLinePunct w:val="0"/>
              <w:bidi w:val="0"/>
              <w:spacing w:line="240" w:lineRule="auto"/>
              <w:jc w:val="center"/>
              <w:rPr>
                <w:rFonts w:hint="default" w:ascii="宋体" w:hAnsi="宋体" w:eastAsia="宋体" w:cs="宋体"/>
                <w:lang w:val="en-US" w:eastAsia="zh-CN"/>
              </w:rPr>
            </w:pPr>
            <w:r>
              <w:rPr>
                <w:rFonts w:hint="eastAsia" w:ascii="宋体" w:hAnsi="宋体" w:eastAsia="宋体" w:cs="宋体"/>
                <w:lang w:val="en-US" w:eastAsia="zh-CN"/>
              </w:rPr>
              <w:t>0～20分</w:t>
            </w:r>
          </w:p>
        </w:tc>
        <w:tc>
          <w:tcPr>
            <w:tcW w:w="5930" w:type="dxa"/>
            <w:vAlign w:val="center"/>
          </w:tcPr>
          <w:p w14:paraId="40E7EDD6">
            <w:pPr>
              <w:pStyle w:val="35"/>
              <w:keepLines w:val="0"/>
              <w:kinsoku/>
              <w:wordWrap/>
              <w:overflowPunct/>
              <w:topLinePunct w:val="0"/>
              <w:bidi w:val="0"/>
              <w:spacing w:line="240" w:lineRule="auto"/>
              <w:jc w:val="left"/>
              <w:rPr>
                <w:rFonts w:hint="default" w:ascii="Times New Roman" w:hAnsi="Times New Roman" w:eastAsia="宋体" w:cs="Times New Roman"/>
                <w:lang w:val="en-US" w:eastAsia="zh-CN"/>
              </w:rPr>
            </w:pPr>
            <w:r>
              <w:rPr>
                <w:rFonts w:hint="eastAsia"/>
                <w:lang w:val="en-US" w:eastAsia="zh-CN"/>
              </w:rPr>
              <w:t>11</w:t>
            </w:r>
            <w:r>
              <w:rPr>
                <w:rFonts w:hint="eastAsia" w:ascii="宋体" w:hAnsi="宋体" w:eastAsia="宋体" w:cs="宋体"/>
                <w:lang w:val="en-US" w:eastAsia="zh-CN"/>
              </w:rPr>
              <w:t>～</w:t>
            </w:r>
            <w:r>
              <w:rPr>
                <w:rFonts w:hint="eastAsia" w:hAnsi="宋体" w:cs="宋体"/>
                <w:lang w:val="en-US" w:eastAsia="zh-CN"/>
              </w:rPr>
              <w:t>20分。</w:t>
            </w:r>
            <w:r>
              <w:rPr>
                <w:rFonts w:hint="eastAsia"/>
                <w:lang w:val="en-US" w:eastAsia="zh-CN"/>
              </w:rPr>
              <w:t>节能服务公司配备与项目规模相匹配的专职技术团队（含节能设计、设备运维等岗位）和财务管理团队；</w:t>
            </w:r>
          </w:p>
          <w:p w14:paraId="2DE33DDA">
            <w:pPr>
              <w:pStyle w:val="35"/>
              <w:keepLines w:val="0"/>
              <w:kinsoku/>
              <w:wordWrap/>
              <w:overflowPunct/>
              <w:topLinePunct w:val="0"/>
              <w:bidi w:val="0"/>
              <w:spacing w:line="240" w:lineRule="auto"/>
              <w:jc w:val="left"/>
              <w:rPr>
                <w:rFonts w:hint="default" w:ascii="Times New Roman" w:hAnsi="Times New Roman" w:eastAsia="宋体" w:cs="Times New Roman"/>
                <w:lang w:val="en-US" w:eastAsia="zh-CN"/>
              </w:rPr>
            </w:pPr>
            <w:r>
              <w:rPr>
                <w:rFonts w:hint="eastAsia" w:ascii="Times New Roman" w:cs="Times New Roman"/>
                <w:lang w:val="en-US" w:eastAsia="zh-CN"/>
              </w:rPr>
              <w:t>0</w:t>
            </w:r>
            <w:r>
              <w:rPr>
                <w:rFonts w:hint="eastAsia" w:ascii="宋体" w:hAnsi="宋体" w:eastAsia="宋体" w:cs="宋体"/>
                <w:lang w:val="en-US" w:eastAsia="zh-CN"/>
              </w:rPr>
              <w:t>～</w:t>
            </w:r>
            <w:r>
              <w:rPr>
                <w:rFonts w:hint="eastAsia" w:hAnsi="宋体" w:cs="宋体"/>
                <w:lang w:val="en-US" w:eastAsia="zh-CN"/>
              </w:rPr>
              <w:t>10分。技术和财务专职人员数量不足，未达到项目配置最低标准；人员专业能力与项目需求存在差距。</w:t>
            </w:r>
          </w:p>
        </w:tc>
      </w:tr>
      <w:tr w14:paraId="0C978EB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1039" w:type="dxa"/>
            <w:vMerge w:val="continue"/>
            <w:vAlign w:val="center"/>
          </w:tcPr>
          <w:p w14:paraId="593E3A3B">
            <w:pPr>
              <w:pStyle w:val="35"/>
              <w:keepLines w:val="0"/>
              <w:kinsoku/>
              <w:wordWrap/>
              <w:overflowPunct/>
              <w:topLinePunct w:val="0"/>
              <w:bidi w:val="0"/>
              <w:spacing w:line="240" w:lineRule="auto"/>
              <w:jc w:val="center"/>
            </w:pPr>
          </w:p>
        </w:tc>
        <w:tc>
          <w:tcPr>
            <w:tcW w:w="1361" w:type="dxa"/>
            <w:vAlign w:val="center"/>
          </w:tcPr>
          <w:p w14:paraId="7302746C">
            <w:pPr>
              <w:pStyle w:val="35"/>
              <w:keepLines w:val="0"/>
              <w:kinsoku/>
              <w:wordWrap/>
              <w:overflowPunct/>
              <w:topLinePunct w:val="0"/>
              <w:bidi w:val="0"/>
              <w:spacing w:line="240" w:lineRule="auto"/>
              <w:jc w:val="center"/>
              <w:rPr>
                <w:rFonts w:hint="default" w:eastAsia="宋体"/>
                <w:lang w:val="en-US" w:eastAsia="zh-CN"/>
              </w:rPr>
            </w:pPr>
            <w:r>
              <w:rPr>
                <w:rFonts w:hint="eastAsia"/>
                <w:lang w:val="en-US" w:eastAsia="zh-CN"/>
              </w:rPr>
              <w:t>组织管理水平</w:t>
            </w:r>
          </w:p>
        </w:tc>
        <w:tc>
          <w:tcPr>
            <w:tcW w:w="940" w:type="dxa"/>
            <w:vAlign w:val="center"/>
          </w:tcPr>
          <w:p w14:paraId="66A27430">
            <w:pPr>
              <w:pStyle w:val="35"/>
              <w:keepLines w:val="0"/>
              <w:kinsoku/>
              <w:wordWrap/>
              <w:overflowPunct/>
              <w:topLinePunct w:val="0"/>
              <w:bidi w:val="0"/>
              <w:spacing w:line="240" w:lineRule="auto"/>
              <w:jc w:val="center"/>
              <w:rPr>
                <w:rFonts w:hint="default" w:ascii="宋体" w:hAnsi="宋体" w:eastAsia="宋体" w:cs="宋体"/>
                <w:lang w:val="en-US" w:eastAsia="zh-CN"/>
              </w:rPr>
            </w:pPr>
            <w:r>
              <w:rPr>
                <w:rFonts w:hint="eastAsia" w:ascii="宋体" w:hAnsi="宋体" w:eastAsia="宋体" w:cs="宋体"/>
                <w:lang w:val="en-US" w:eastAsia="zh-CN"/>
              </w:rPr>
              <w:t>0～20分</w:t>
            </w:r>
          </w:p>
        </w:tc>
        <w:tc>
          <w:tcPr>
            <w:tcW w:w="5930" w:type="dxa"/>
            <w:vAlign w:val="center"/>
          </w:tcPr>
          <w:p w14:paraId="0BD1B439">
            <w:pPr>
              <w:pStyle w:val="35"/>
              <w:keepLines w:val="0"/>
              <w:kinsoku/>
              <w:wordWrap/>
              <w:overflowPunct/>
              <w:topLinePunct w:val="0"/>
              <w:bidi w:val="0"/>
              <w:spacing w:line="240" w:lineRule="auto"/>
              <w:jc w:val="both"/>
              <w:rPr>
                <w:rFonts w:hint="default"/>
                <w:lang w:val="en-US" w:eastAsia="zh-CN"/>
              </w:rPr>
            </w:pPr>
            <w:r>
              <w:rPr>
                <w:rFonts w:hint="eastAsia"/>
                <w:lang w:val="en-US" w:eastAsia="zh-CN"/>
              </w:rPr>
              <w:t>11</w:t>
            </w:r>
            <w:r>
              <w:rPr>
                <w:rFonts w:hint="eastAsia" w:ascii="宋体" w:hAnsi="宋体" w:eastAsia="宋体" w:cs="宋体"/>
                <w:lang w:val="en-US" w:eastAsia="zh-CN"/>
              </w:rPr>
              <w:t>～</w:t>
            </w:r>
            <w:r>
              <w:rPr>
                <w:rFonts w:hint="eastAsia" w:hAnsi="宋体" w:cs="宋体"/>
                <w:lang w:val="en-US" w:eastAsia="zh-CN"/>
              </w:rPr>
              <w:t>20分。</w:t>
            </w:r>
            <w:r>
              <w:rPr>
                <w:rFonts w:hint="eastAsia"/>
                <w:lang w:val="en-US" w:eastAsia="zh-CN"/>
              </w:rPr>
              <w:t>节能服务公司应具有较为完善的组织机构、管理制度，依照GB/T 23331建立能源管理体系，且制度执行记录和效果可验证。</w:t>
            </w:r>
          </w:p>
          <w:p w14:paraId="0D428B9B">
            <w:pPr>
              <w:pStyle w:val="35"/>
              <w:keepLines w:val="0"/>
              <w:kinsoku/>
              <w:wordWrap/>
              <w:overflowPunct/>
              <w:topLinePunct w:val="0"/>
              <w:bidi w:val="0"/>
              <w:spacing w:line="240" w:lineRule="auto"/>
              <w:jc w:val="both"/>
              <w:rPr>
                <w:rFonts w:hint="default"/>
                <w:lang w:val="en-US" w:eastAsia="zh-CN"/>
              </w:rPr>
            </w:pPr>
            <w:r>
              <w:rPr>
                <w:rFonts w:hint="eastAsia" w:ascii="Times New Roman" w:cs="Times New Roman"/>
                <w:lang w:val="en-US" w:eastAsia="zh-CN"/>
              </w:rPr>
              <w:t>0</w:t>
            </w:r>
            <w:r>
              <w:rPr>
                <w:rFonts w:hint="eastAsia" w:ascii="宋体" w:hAnsi="宋体" w:eastAsia="宋体" w:cs="宋体"/>
                <w:lang w:val="en-US" w:eastAsia="zh-CN"/>
              </w:rPr>
              <w:t>～</w:t>
            </w:r>
            <w:r>
              <w:rPr>
                <w:rFonts w:hint="eastAsia" w:hAnsi="宋体" w:cs="宋体"/>
                <w:lang w:val="en-US" w:eastAsia="zh-CN"/>
              </w:rPr>
              <w:t>10分。</w:t>
            </w:r>
            <w:r>
              <w:rPr>
                <w:rFonts w:hint="eastAsia"/>
                <w:lang w:val="en-US" w:eastAsia="zh-CN"/>
              </w:rPr>
              <w:t>组织机构、管理制度、质量管理体系有待完善，现有制度缺乏执行记录，落实效果较差。</w:t>
            </w:r>
          </w:p>
        </w:tc>
      </w:tr>
      <w:tr w14:paraId="600C572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1039" w:type="dxa"/>
            <w:vMerge w:val="continue"/>
            <w:vAlign w:val="center"/>
          </w:tcPr>
          <w:p w14:paraId="15E789AE">
            <w:pPr>
              <w:pStyle w:val="35"/>
              <w:keepLines w:val="0"/>
              <w:kinsoku/>
              <w:wordWrap/>
              <w:overflowPunct/>
              <w:topLinePunct w:val="0"/>
              <w:bidi w:val="0"/>
              <w:spacing w:line="240" w:lineRule="auto"/>
              <w:jc w:val="center"/>
            </w:pPr>
          </w:p>
        </w:tc>
        <w:tc>
          <w:tcPr>
            <w:tcW w:w="1361" w:type="dxa"/>
            <w:vAlign w:val="center"/>
          </w:tcPr>
          <w:p w14:paraId="7A9EBB22">
            <w:pPr>
              <w:pStyle w:val="35"/>
              <w:keepLines w:val="0"/>
              <w:kinsoku/>
              <w:wordWrap/>
              <w:overflowPunct/>
              <w:topLinePunct w:val="0"/>
              <w:bidi w:val="0"/>
              <w:spacing w:line="240" w:lineRule="auto"/>
              <w:jc w:val="center"/>
              <w:rPr>
                <w:rFonts w:hint="default" w:eastAsia="宋体"/>
                <w:lang w:val="en-US" w:eastAsia="zh-CN"/>
              </w:rPr>
            </w:pPr>
            <w:r>
              <w:rPr>
                <w:rFonts w:hint="eastAsia"/>
                <w:lang w:val="en-US" w:eastAsia="zh-CN"/>
              </w:rPr>
              <w:t>财务管理</w:t>
            </w:r>
          </w:p>
        </w:tc>
        <w:tc>
          <w:tcPr>
            <w:tcW w:w="940" w:type="dxa"/>
            <w:vAlign w:val="center"/>
          </w:tcPr>
          <w:p w14:paraId="027230C2">
            <w:pPr>
              <w:pStyle w:val="35"/>
              <w:keepLines w:val="0"/>
              <w:kinsoku/>
              <w:wordWrap/>
              <w:overflowPunct/>
              <w:topLinePunct w:val="0"/>
              <w:bidi w:val="0"/>
              <w:spacing w:line="240" w:lineRule="auto"/>
              <w:jc w:val="center"/>
              <w:rPr>
                <w:rFonts w:hint="default" w:ascii="宋体" w:hAnsi="宋体" w:eastAsia="宋体" w:cs="宋体"/>
                <w:lang w:val="en-US" w:eastAsia="zh-CN"/>
              </w:rPr>
            </w:pPr>
            <w:r>
              <w:rPr>
                <w:rFonts w:hint="eastAsia" w:ascii="宋体" w:hAnsi="宋体" w:eastAsia="宋体" w:cs="宋体"/>
                <w:lang w:val="en-US" w:eastAsia="zh-CN"/>
              </w:rPr>
              <w:t>0～20分</w:t>
            </w:r>
          </w:p>
        </w:tc>
        <w:tc>
          <w:tcPr>
            <w:tcW w:w="5930" w:type="dxa"/>
            <w:vAlign w:val="center"/>
          </w:tcPr>
          <w:p w14:paraId="16F5BCDB">
            <w:pPr>
              <w:pStyle w:val="35"/>
              <w:keepLines w:val="0"/>
              <w:kinsoku/>
              <w:wordWrap/>
              <w:overflowPunct/>
              <w:topLinePunct w:val="0"/>
              <w:bidi w:val="0"/>
              <w:spacing w:line="240" w:lineRule="auto"/>
              <w:jc w:val="both"/>
              <w:rPr>
                <w:rFonts w:hint="default"/>
                <w:lang w:val="en-US" w:eastAsia="zh-CN"/>
              </w:rPr>
            </w:pPr>
            <w:r>
              <w:rPr>
                <w:rFonts w:hint="eastAsia"/>
                <w:lang w:val="en-US" w:eastAsia="zh-CN"/>
              </w:rPr>
              <w:t>11</w:t>
            </w:r>
            <w:r>
              <w:rPr>
                <w:rFonts w:hint="eastAsia" w:ascii="宋体" w:hAnsi="宋体" w:eastAsia="宋体" w:cs="宋体"/>
                <w:lang w:val="en-US" w:eastAsia="zh-CN"/>
              </w:rPr>
              <w:t>～</w:t>
            </w:r>
            <w:r>
              <w:rPr>
                <w:rFonts w:hint="eastAsia" w:hAnsi="宋体" w:cs="宋体"/>
                <w:lang w:val="en-US" w:eastAsia="zh-CN"/>
              </w:rPr>
              <w:t>20分。</w:t>
            </w:r>
            <w:r>
              <w:rPr>
                <w:rFonts w:hint="eastAsia"/>
                <w:lang w:val="en-US" w:eastAsia="zh-CN"/>
              </w:rPr>
              <w:t>节能服务公司应具有满足能源托管服务所需的投资能力（包含自有资金和融资能力）和财务管理能力，提供第三方财务审计报告或银行A级以上资信证明。</w:t>
            </w:r>
          </w:p>
          <w:p w14:paraId="37DD23B0">
            <w:pPr>
              <w:pStyle w:val="35"/>
              <w:keepLines w:val="0"/>
              <w:kinsoku/>
              <w:wordWrap/>
              <w:overflowPunct/>
              <w:topLinePunct w:val="0"/>
              <w:bidi w:val="0"/>
              <w:spacing w:line="240" w:lineRule="auto"/>
              <w:jc w:val="both"/>
              <w:rPr>
                <w:rFonts w:hint="default"/>
                <w:lang w:val="en-US" w:eastAsia="zh-CN"/>
              </w:rPr>
            </w:pPr>
            <w:r>
              <w:rPr>
                <w:rFonts w:hint="eastAsia" w:ascii="Times New Roman" w:cs="Times New Roman"/>
                <w:lang w:val="en-US" w:eastAsia="zh-CN"/>
              </w:rPr>
              <w:t>0</w:t>
            </w:r>
            <w:r>
              <w:rPr>
                <w:rFonts w:hint="eastAsia" w:ascii="宋体" w:hAnsi="宋体" w:eastAsia="宋体" w:cs="宋体"/>
                <w:lang w:val="en-US" w:eastAsia="zh-CN"/>
              </w:rPr>
              <w:t>～</w:t>
            </w:r>
            <w:r>
              <w:rPr>
                <w:rFonts w:hint="eastAsia" w:hAnsi="宋体" w:cs="宋体"/>
                <w:lang w:val="en-US" w:eastAsia="zh-CN"/>
              </w:rPr>
              <w:t>10分。自有资金不足或外部融资能力不强，难以匹配托管项目对于投资能力的需求。</w:t>
            </w:r>
          </w:p>
        </w:tc>
      </w:tr>
      <w:tr w14:paraId="60FEAF8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1039" w:type="dxa"/>
            <w:vMerge w:val="continue"/>
            <w:vAlign w:val="center"/>
          </w:tcPr>
          <w:p w14:paraId="06766725">
            <w:pPr>
              <w:pStyle w:val="35"/>
              <w:keepLines w:val="0"/>
              <w:kinsoku/>
              <w:wordWrap/>
              <w:overflowPunct/>
              <w:topLinePunct w:val="0"/>
              <w:bidi w:val="0"/>
              <w:spacing w:line="240" w:lineRule="auto"/>
              <w:jc w:val="center"/>
            </w:pPr>
          </w:p>
        </w:tc>
        <w:tc>
          <w:tcPr>
            <w:tcW w:w="1361" w:type="dxa"/>
            <w:vAlign w:val="center"/>
          </w:tcPr>
          <w:p w14:paraId="16440339">
            <w:pPr>
              <w:pStyle w:val="35"/>
              <w:keepLines w:val="0"/>
              <w:kinsoku/>
              <w:wordWrap/>
              <w:overflowPunct/>
              <w:topLinePunct w:val="0"/>
              <w:bidi w:val="0"/>
              <w:spacing w:line="240" w:lineRule="auto"/>
              <w:jc w:val="center"/>
              <w:rPr>
                <w:rFonts w:hint="default" w:eastAsia="宋体"/>
                <w:lang w:val="en-US" w:eastAsia="zh-CN"/>
              </w:rPr>
            </w:pPr>
            <w:r>
              <w:rPr>
                <w:rFonts w:hint="eastAsia"/>
                <w:lang w:val="en-US" w:eastAsia="zh-CN"/>
              </w:rPr>
              <w:t>风险防控能力</w:t>
            </w:r>
          </w:p>
        </w:tc>
        <w:tc>
          <w:tcPr>
            <w:tcW w:w="940" w:type="dxa"/>
            <w:vAlign w:val="center"/>
          </w:tcPr>
          <w:p w14:paraId="0BF7E07D">
            <w:pPr>
              <w:pStyle w:val="35"/>
              <w:keepLines w:val="0"/>
              <w:kinsoku/>
              <w:wordWrap/>
              <w:overflowPunct/>
              <w:topLinePunct w:val="0"/>
              <w:bidi w:val="0"/>
              <w:spacing w:line="240" w:lineRule="auto"/>
              <w:jc w:val="center"/>
              <w:rPr>
                <w:rFonts w:hint="default" w:ascii="宋体" w:hAnsi="宋体" w:eastAsia="宋体" w:cs="宋体"/>
                <w:lang w:val="en-US" w:eastAsia="zh-CN"/>
              </w:rPr>
            </w:pPr>
            <w:r>
              <w:rPr>
                <w:rFonts w:hint="eastAsia" w:ascii="宋体" w:hAnsi="宋体" w:eastAsia="宋体" w:cs="宋体"/>
                <w:lang w:val="en-US" w:eastAsia="zh-CN"/>
              </w:rPr>
              <w:t>0～20分</w:t>
            </w:r>
          </w:p>
        </w:tc>
        <w:tc>
          <w:tcPr>
            <w:tcW w:w="5930" w:type="dxa"/>
            <w:vAlign w:val="center"/>
          </w:tcPr>
          <w:p w14:paraId="013E4597">
            <w:pPr>
              <w:pStyle w:val="35"/>
              <w:keepLines w:val="0"/>
              <w:kinsoku/>
              <w:wordWrap/>
              <w:overflowPunct/>
              <w:topLinePunct w:val="0"/>
              <w:bidi w:val="0"/>
              <w:spacing w:line="240" w:lineRule="auto"/>
              <w:jc w:val="both"/>
              <w:rPr>
                <w:rFonts w:hint="eastAsia"/>
                <w:lang w:val="en-US" w:eastAsia="zh-CN"/>
              </w:rPr>
            </w:pPr>
            <w:r>
              <w:rPr>
                <w:rFonts w:hint="eastAsia"/>
                <w:lang w:val="en-US" w:eastAsia="zh-CN"/>
              </w:rPr>
              <w:t>11</w:t>
            </w:r>
            <w:r>
              <w:rPr>
                <w:rFonts w:hint="eastAsia" w:ascii="宋体" w:hAnsi="宋体" w:eastAsia="宋体" w:cs="宋体"/>
                <w:lang w:val="en-US" w:eastAsia="zh-CN"/>
              </w:rPr>
              <w:t>～</w:t>
            </w:r>
            <w:r>
              <w:rPr>
                <w:rFonts w:hint="eastAsia" w:hAnsi="宋体" w:cs="宋体"/>
                <w:lang w:val="en-US" w:eastAsia="zh-CN"/>
              </w:rPr>
              <w:t>20分。</w:t>
            </w:r>
            <w:r>
              <w:rPr>
                <w:rFonts w:hint="eastAsia"/>
                <w:lang w:val="en-US" w:eastAsia="zh-CN"/>
              </w:rPr>
              <w:t>节能服务公司对技术、运营、收益等潜在的能源托管风险因素进行有效识别，明确风险等级、责任主体、应对措施，并定期开展风险评估与预案演练。</w:t>
            </w:r>
          </w:p>
          <w:p w14:paraId="25921927">
            <w:pPr>
              <w:pStyle w:val="35"/>
              <w:keepLines w:val="0"/>
              <w:kinsoku/>
              <w:wordWrap/>
              <w:overflowPunct/>
              <w:topLinePunct w:val="0"/>
              <w:bidi w:val="0"/>
              <w:spacing w:line="240" w:lineRule="auto"/>
              <w:jc w:val="both"/>
              <w:rPr>
                <w:rFonts w:hint="default"/>
                <w:lang w:val="en-US" w:eastAsia="zh-CN"/>
              </w:rPr>
            </w:pPr>
            <w:r>
              <w:rPr>
                <w:rFonts w:hint="eastAsia" w:ascii="Times New Roman" w:cs="Times New Roman"/>
                <w:lang w:val="en-US" w:eastAsia="zh-CN"/>
              </w:rPr>
              <w:t>0</w:t>
            </w:r>
            <w:r>
              <w:rPr>
                <w:rFonts w:hint="eastAsia" w:ascii="宋体" w:hAnsi="宋体" w:eastAsia="宋体" w:cs="宋体"/>
                <w:lang w:val="en-US" w:eastAsia="zh-CN"/>
              </w:rPr>
              <w:t>～</w:t>
            </w:r>
            <w:r>
              <w:rPr>
                <w:rFonts w:hint="eastAsia" w:hAnsi="宋体" w:cs="宋体"/>
                <w:lang w:val="en-US" w:eastAsia="zh-CN"/>
              </w:rPr>
              <w:t>10分。节能服务公司风险防控制度不够完善，应对措施有效性不足。</w:t>
            </w:r>
          </w:p>
        </w:tc>
      </w:tr>
      <w:tr w14:paraId="7D83E78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1039" w:type="dxa"/>
            <w:vMerge w:val="restart"/>
            <w:vAlign w:val="center"/>
          </w:tcPr>
          <w:p w14:paraId="4A85A9F8">
            <w:pPr>
              <w:pStyle w:val="35"/>
              <w:keepLines w:val="0"/>
              <w:kinsoku/>
              <w:wordWrap/>
              <w:overflowPunct/>
              <w:topLinePunct w:val="0"/>
              <w:bidi w:val="0"/>
              <w:spacing w:line="240" w:lineRule="auto"/>
              <w:jc w:val="center"/>
              <w:rPr>
                <w:rFonts w:hint="eastAsia"/>
                <w:lang w:val="en-US" w:eastAsia="zh-CN"/>
              </w:rPr>
            </w:pPr>
          </w:p>
          <w:p w14:paraId="48AD5953">
            <w:pPr>
              <w:pStyle w:val="35"/>
              <w:keepLines w:val="0"/>
              <w:kinsoku/>
              <w:wordWrap/>
              <w:overflowPunct/>
              <w:topLinePunct w:val="0"/>
              <w:bidi w:val="0"/>
              <w:spacing w:line="240" w:lineRule="auto"/>
              <w:jc w:val="center"/>
              <w:rPr>
                <w:rFonts w:hint="eastAsia"/>
                <w:lang w:val="en-US" w:eastAsia="zh-CN"/>
              </w:rPr>
            </w:pPr>
          </w:p>
          <w:p w14:paraId="4BFC08D1">
            <w:pPr>
              <w:pStyle w:val="35"/>
              <w:keepLines w:val="0"/>
              <w:kinsoku/>
              <w:wordWrap/>
              <w:overflowPunct/>
              <w:topLinePunct w:val="0"/>
              <w:bidi w:val="0"/>
              <w:spacing w:line="240" w:lineRule="auto"/>
              <w:jc w:val="center"/>
              <w:rPr>
                <w:rFonts w:hint="eastAsia"/>
                <w:lang w:val="en-US" w:eastAsia="zh-CN"/>
              </w:rPr>
            </w:pPr>
          </w:p>
          <w:p w14:paraId="7257BF1D">
            <w:pPr>
              <w:pStyle w:val="35"/>
              <w:keepLines w:val="0"/>
              <w:kinsoku/>
              <w:wordWrap/>
              <w:overflowPunct/>
              <w:topLinePunct w:val="0"/>
              <w:bidi w:val="0"/>
              <w:spacing w:line="240" w:lineRule="auto"/>
              <w:jc w:val="center"/>
              <w:rPr>
                <w:rFonts w:hint="eastAsia"/>
                <w:lang w:val="en-US" w:eastAsia="zh-CN"/>
              </w:rPr>
            </w:pPr>
          </w:p>
          <w:p w14:paraId="7DD68D34">
            <w:pPr>
              <w:pStyle w:val="35"/>
              <w:keepLines w:val="0"/>
              <w:kinsoku/>
              <w:wordWrap/>
              <w:overflowPunct/>
              <w:topLinePunct w:val="0"/>
              <w:bidi w:val="0"/>
              <w:spacing w:line="240" w:lineRule="auto"/>
              <w:jc w:val="center"/>
              <w:rPr>
                <w:rFonts w:hint="eastAsia"/>
                <w:lang w:val="en-US" w:eastAsia="zh-CN"/>
              </w:rPr>
            </w:pPr>
            <w:r>
              <w:rPr>
                <w:rFonts w:hint="eastAsia"/>
                <w:lang w:val="en-US" w:eastAsia="zh-CN"/>
              </w:rPr>
              <w:t>服务过程</w:t>
            </w:r>
          </w:p>
          <w:p w14:paraId="41998EFE">
            <w:pPr>
              <w:pStyle w:val="35"/>
              <w:keepLines w:val="0"/>
              <w:kinsoku/>
              <w:wordWrap/>
              <w:overflowPunct/>
              <w:topLinePunct w:val="0"/>
              <w:bidi w:val="0"/>
              <w:spacing w:line="240" w:lineRule="auto"/>
              <w:jc w:val="center"/>
              <w:rPr>
                <w:rFonts w:hint="eastAsia"/>
                <w:lang w:val="en-US" w:eastAsia="zh-CN"/>
              </w:rPr>
            </w:pPr>
            <w:r>
              <w:rPr>
                <w:rFonts w:hint="eastAsia"/>
                <w:lang w:val="en-US" w:eastAsia="zh-CN"/>
              </w:rPr>
              <w:t>（30%）</w:t>
            </w:r>
          </w:p>
          <w:p w14:paraId="61849B65">
            <w:pPr>
              <w:pStyle w:val="35"/>
              <w:keepLines w:val="0"/>
              <w:kinsoku/>
              <w:wordWrap/>
              <w:overflowPunct/>
              <w:topLinePunct w:val="0"/>
              <w:bidi w:val="0"/>
              <w:spacing w:line="240" w:lineRule="auto"/>
              <w:jc w:val="center"/>
              <w:rPr>
                <w:rFonts w:hint="eastAsia"/>
                <w:lang w:val="en-US" w:eastAsia="zh-CN"/>
              </w:rPr>
            </w:pPr>
          </w:p>
          <w:p w14:paraId="2D2AC7D7">
            <w:pPr>
              <w:pStyle w:val="35"/>
              <w:keepLines w:val="0"/>
              <w:kinsoku/>
              <w:wordWrap/>
              <w:overflowPunct/>
              <w:topLinePunct w:val="0"/>
              <w:bidi w:val="0"/>
              <w:spacing w:line="240" w:lineRule="auto"/>
              <w:jc w:val="center"/>
              <w:rPr>
                <w:rFonts w:hint="eastAsia"/>
                <w:lang w:val="en-US" w:eastAsia="zh-CN"/>
              </w:rPr>
            </w:pPr>
          </w:p>
          <w:p w14:paraId="16691B24">
            <w:pPr>
              <w:pStyle w:val="35"/>
              <w:keepLines w:val="0"/>
              <w:kinsoku/>
              <w:wordWrap/>
              <w:overflowPunct/>
              <w:topLinePunct w:val="0"/>
              <w:bidi w:val="0"/>
              <w:spacing w:line="240" w:lineRule="auto"/>
              <w:jc w:val="center"/>
              <w:rPr>
                <w:rFonts w:hint="eastAsia"/>
                <w:lang w:val="en-US" w:eastAsia="zh-CN"/>
              </w:rPr>
            </w:pPr>
          </w:p>
          <w:p w14:paraId="3363E94C">
            <w:pPr>
              <w:pStyle w:val="35"/>
              <w:keepLines w:val="0"/>
              <w:kinsoku/>
              <w:wordWrap/>
              <w:overflowPunct/>
              <w:topLinePunct w:val="0"/>
              <w:bidi w:val="0"/>
              <w:spacing w:line="240" w:lineRule="auto"/>
              <w:jc w:val="center"/>
              <w:rPr>
                <w:rFonts w:hint="eastAsia"/>
                <w:lang w:val="en-US" w:eastAsia="zh-CN"/>
              </w:rPr>
            </w:pPr>
          </w:p>
          <w:p w14:paraId="39111F20">
            <w:pPr>
              <w:pStyle w:val="35"/>
              <w:keepLines w:val="0"/>
              <w:kinsoku/>
              <w:wordWrap/>
              <w:overflowPunct/>
              <w:topLinePunct w:val="0"/>
              <w:bidi w:val="0"/>
              <w:spacing w:line="240" w:lineRule="auto"/>
              <w:jc w:val="center"/>
              <w:rPr>
                <w:rFonts w:hint="eastAsia"/>
                <w:lang w:val="en-US" w:eastAsia="zh-CN"/>
              </w:rPr>
            </w:pPr>
          </w:p>
          <w:p w14:paraId="1F16FAF6">
            <w:pPr>
              <w:pStyle w:val="35"/>
              <w:keepLines w:val="0"/>
              <w:kinsoku/>
              <w:wordWrap/>
              <w:overflowPunct/>
              <w:topLinePunct w:val="0"/>
              <w:bidi w:val="0"/>
              <w:spacing w:line="240" w:lineRule="auto"/>
              <w:jc w:val="center"/>
              <w:rPr>
                <w:rFonts w:hint="eastAsia"/>
                <w:lang w:val="en-US" w:eastAsia="zh-CN"/>
              </w:rPr>
            </w:pPr>
          </w:p>
          <w:p w14:paraId="2FAB714D">
            <w:pPr>
              <w:pStyle w:val="35"/>
              <w:keepLines w:val="0"/>
              <w:kinsoku/>
              <w:wordWrap/>
              <w:overflowPunct/>
              <w:topLinePunct w:val="0"/>
              <w:bidi w:val="0"/>
              <w:spacing w:line="240" w:lineRule="auto"/>
              <w:jc w:val="center"/>
              <w:rPr>
                <w:rFonts w:hint="eastAsia"/>
                <w:lang w:val="en-US" w:eastAsia="zh-CN"/>
              </w:rPr>
            </w:pPr>
          </w:p>
          <w:p w14:paraId="2B2FC135">
            <w:pPr>
              <w:pStyle w:val="35"/>
              <w:keepLines w:val="0"/>
              <w:kinsoku/>
              <w:wordWrap/>
              <w:overflowPunct/>
              <w:topLinePunct w:val="0"/>
              <w:bidi w:val="0"/>
              <w:spacing w:line="240" w:lineRule="auto"/>
              <w:jc w:val="center"/>
              <w:rPr>
                <w:rFonts w:hint="eastAsia"/>
                <w:lang w:val="en-US" w:eastAsia="zh-CN"/>
              </w:rPr>
            </w:pPr>
          </w:p>
          <w:p w14:paraId="0147ACDA">
            <w:pPr>
              <w:pStyle w:val="35"/>
              <w:keepLines w:val="0"/>
              <w:kinsoku/>
              <w:wordWrap/>
              <w:overflowPunct/>
              <w:topLinePunct w:val="0"/>
              <w:bidi w:val="0"/>
              <w:spacing w:line="240" w:lineRule="auto"/>
              <w:jc w:val="center"/>
              <w:rPr>
                <w:rFonts w:hint="eastAsia"/>
                <w:lang w:val="en-US" w:eastAsia="zh-CN"/>
              </w:rPr>
            </w:pPr>
          </w:p>
          <w:p w14:paraId="022C160D">
            <w:pPr>
              <w:pStyle w:val="35"/>
              <w:keepLines w:val="0"/>
              <w:kinsoku/>
              <w:wordWrap/>
              <w:overflowPunct/>
              <w:topLinePunct w:val="0"/>
              <w:bidi w:val="0"/>
              <w:spacing w:line="240" w:lineRule="auto"/>
              <w:jc w:val="center"/>
              <w:rPr>
                <w:rFonts w:hint="eastAsia"/>
                <w:lang w:val="en-US" w:eastAsia="zh-CN"/>
              </w:rPr>
            </w:pPr>
          </w:p>
          <w:p w14:paraId="1DF05FE7">
            <w:pPr>
              <w:pStyle w:val="35"/>
              <w:keepLines w:val="0"/>
              <w:kinsoku/>
              <w:wordWrap/>
              <w:overflowPunct/>
              <w:topLinePunct w:val="0"/>
              <w:bidi w:val="0"/>
              <w:spacing w:line="240" w:lineRule="auto"/>
              <w:jc w:val="center"/>
              <w:rPr>
                <w:rFonts w:hint="eastAsia"/>
                <w:lang w:val="en-US" w:eastAsia="zh-CN"/>
              </w:rPr>
            </w:pPr>
          </w:p>
          <w:p w14:paraId="70283DDF">
            <w:pPr>
              <w:pStyle w:val="35"/>
              <w:keepLines w:val="0"/>
              <w:kinsoku/>
              <w:wordWrap/>
              <w:overflowPunct/>
              <w:topLinePunct w:val="0"/>
              <w:bidi w:val="0"/>
              <w:spacing w:line="240" w:lineRule="auto"/>
              <w:jc w:val="center"/>
              <w:rPr>
                <w:rFonts w:hint="eastAsia"/>
                <w:lang w:val="en-US" w:eastAsia="zh-CN"/>
              </w:rPr>
            </w:pPr>
          </w:p>
          <w:p w14:paraId="41E97339">
            <w:pPr>
              <w:pStyle w:val="35"/>
              <w:keepLines w:val="0"/>
              <w:kinsoku/>
              <w:wordWrap/>
              <w:overflowPunct/>
              <w:topLinePunct w:val="0"/>
              <w:bidi w:val="0"/>
              <w:spacing w:line="240" w:lineRule="auto"/>
              <w:jc w:val="center"/>
              <w:rPr>
                <w:rFonts w:hint="eastAsia"/>
                <w:lang w:val="en-US" w:eastAsia="zh-CN"/>
              </w:rPr>
            </w:pPr>
          </w:p>
          <w:p w14:paraId="2526608A">
            <w:pPr>
              <w:pStyle w:val="35"/>
              <w:keepLines w:val="0"/>
              <w:kinsoku/>
              <w:wordWrap/>
              <w:overflowPunct/>
              <w:topLinePunct w:val="0"/>
              <w:bidi w:val="0"/>
              <w:spacing w:line="240" w:lineRule="auto"/>
              <w:jc w:val="center"/>
              <w:rPr>
                <w:rFonts w:hint="eastAsia"/>
                <w:lang w:val="en-US" w:eastAsia="zh-CN"/>
              </w:rPr>
            </w:pPr>
          </w:p>
          <w:p w14:paraId="103856EE">
            <w:pPr>
              <w:pStyle w:val="35"/>
              <w:keepLines w:val="0"/>
              <w:kinsoku/>
              <w:wordWrap/>
              <w:overflowPunct/>
              <w:topLinePunct w:val="0"/>
              <w:bidi w:val="0"/>
              <w:spacing w:line="240" w:lineRule="auto"/>
              <w:jc w:val="center"/>
              <w:rPr>
                <w:rFonts w:hint="eastAsia"/>
                <w:lang w:val="en-US" w:eastAsia="zh-CN"/>
              </w:rPr>
            </w:pPr>
          </w:p>
          <w:p w14:paraId="012D9C42">
            <w:pPr>
              <w:pStyle w:val="35"/>
              <w:keepLines w:val="0"/>
              <w:kinsoku/>
              <w:wordWrap/>
              <w:overflowPunct/>
              <w:topLinePunct w:val="0"/>
              <w:bidi w:val="0"/>
              <w:spacing w:line="240" w:lineRule="auto"/>
              <w:jc w:val="center"/>
              <w:rPr>
                <w:rFonts w:hint="eastAsia"/>
                <w:lang w:val="en-US" w:eastAsia="zh-CN"/>
              </w:rPr>
            </w:pPr>
          </w:p>
          <w:p w14:paraId="05D9ADEF">
            <w:pPr>
              <w:pStyle w:val="35"/>
              <w:keepLines w:val="0"/>
              <w:kinsoku/>
              <w:wordWrap/>
              <w:overflowPunct/>
              <w:topLinePunct w:val="0"/>
              <w:bidi w:val="0"/>
              <w:spacing w:line="240" w:lineRule="auto"/>
              <w:jc w:val="center"/>
              <w:rPr>
                <w:rFonts w:hint="eastAsia"/>
                <w:lang w:val="en-US" w:eastAsia="zh-CN"/>
              </w:rPr>
            </w:pPr>
          </w:p>
          <w:p w14:paraId="3B7ED16F">
            <w:pPr>
              <w:pStyle w:val="35"/>
              <w:keepLines w:val="0"/>
              <w:kinsoku/>
              <w:wordWrap/>
              <w:overflowPunct/>
              <w:topLinePunct w:val="0"/>
              <w:bidi w:val="0"/>
              <w:spacing w:line="240" w:lineRule="auto"/>
              <w:jc w:val="center"/>
              <w:rPr>
                <w:rFonts w:hint="eastAsia"/>
                <w:lang w:val="en-US" w:eastAsia="zh-CN"/>
              </w:rPr>
            </w:pPr>
            <w:r>
              <w:rPr>
                <w:rFonts w:hint="eastAsia"/>
                <w:lang w:val="en-US" w:eastAsia="zh-CN"/>
              </w:rPr>
              <w:t>服务过程</w:t>
            </w:r>
          </w:p>
          <w:p w14:paraId="0623CAEC">
            <w:pPr>
              <w:pStyle w:val="35"/>
              <w:keepLines w:val="0"/>
              <w:kinsoku/>
              <w:wordWrap/>
              <w:overflowPunct/>
              <w:topLinePunct w:val="0"/>
              <w:bidi w:val="0"/>
              <w:spacing w:line="240" w:lineRule="auto"/>
              <w:jc w:val="center"/>
              <w:rPr>
                <w:rFonts w:hint="eastAsia"/>
                <w:lang w:val="en-US" w:eastAsia="zh-CN"/>
              </w:rPr>
            </w:pPr>
            <w:r>
              <w:rPr>
                <w:rFonts w:hint="eastAsia"/>
                <w:lang w:val="en-US" w:eastAsia="zh-CN"/>
              </w:rPr>
              <w:t>（30%）</w:t>
            </w:r>
          </w:p>
          <w:p w14:paraId="52D6500D">
            <w:pPr>
              <w:pStyle w:val="35"/>
              <w:keepLines w:val="0"/>
              <w:kinsoku/>
              <w:wordWrap/>
              <w:overflowPunct/>
              <w:topLinePunct w:val="0"/>
              <w:bidi w:val="0"/>
              <w:spacing w:line="240" w:lineRule="auto"/>
              <w:jc w:val="center"/>
              <w:rPr>
                <w:rFonts w:hint="default"/>
                <w:lang w:val="en-US" w:eastAsia="zh-CN"/>
              </w:rPr>
            </w:pPr>
          </w:p>
        </w:tc>
        <w:tc>
          <w:tcPr>
            <w:tcW w:w="1361" w:type="dxa"/>
            <w:vAlign w:val="center"/>
          </w:tcPr>
          <w:p w14:paraId="27F2C7AB">
            <w:pPr>
              <w:pStyle w:val="35"/>
              <w:keepLines w:val="0"/>
              <w:kinsoku/>
              <w:wordWrap/>
              <w:overflowPunct/>
              <w:topLinePunct w:val="0"/>
              <w:bidi w:val="0"/>
              <w:spacing w:line="240" w:lineRule="auto"/>
              <w:jc w:val="center"/>
              <w:rPr>
                <w:rFonts w:hint="default" w:eastAsia="宋体"/>
                <w:lang w:val="en-US" w:eastAsia="zh-CN"/>
              </w:rPr>
            </w:pPr>
            <w:r>
              <w:rPr>
                <w:rFonts w:hint="eastAsia"/>
                <w:lang w:val="en-US" w:eastAsia="zh-CN"/>
              </w:rPr>
              <w:t>用能状况诊断</w:t>
            </w:r>
          </w:p>
        </w:tc>
        <w:tc>
          <w:tcPr>
            <w:tcW w:w="940" w:type="dxa"/>
            <w:vAlign w:val="center"/>
          </w:tcPr>
          <w:p w14:paraId="4A5BF390">
            <w:pPr>
              <w:pStyle w:val="35"/>
              <w:keepLines w:val="0"/>
              <w:kinsoku/>
              <w:wordWrap/>
              <w:overflowPunct/>
              <w:topLinePunct w:val="0"/>
              <w:bidi w:val="0"/>
              <w:spacing w:line="240" w:lineRule="auto"/>
              <w:jc w:val="center"/>
              <w:rPr>
                <w:rFonts w:hint="default"/>
                <w:lang w:val="en-US" w:eastAsia="zh-CN"/>
              </w:rPr>
            </w:pPr>
            <w:r>
              <w:rPr>
                <w:rFonts w:hint="eastAsia"/>
                <w:lang w:val="en-US" w:eastAsia="zh-CN"/>
              </w:rPr>
              <w:t>0</w:t>
            </w:r>
            <w:r>
              <w:rPr>
                <w:rFonts w:hint="eastAsia" w:ascii="宋体" w:hAnsi="宋体" w:eastAsia="宋体" w:cs="宋体"/>
                <w:lang w:val="en-US" w:eastAsia="zh-CN"/>
              </w:rPr>
              <w:t>～</w:t>
            </w:r>
            <w:r>
              <w:rPr>
                <w:rFonts w:hint="eastAsia" w:hAnsi="宋体" w:cs="宋体"/>
                <w:lang w:val="en-US" w:eastAsia="zh-CN"/>
              </w:rPr>
              <w:t>20</w:t>
            </w:r>
            <w:r>
              <w:rPr>
                <w:rFonts w:hint="eastAsia" w:ascii="宋体" w:hAnsi="宋体" w:eastAsia="宋体" w:cs="宋体"/>
                <w:lang w:val="en-US" w:eastAsia="zh-CN"/>
              </w:rPr>
              <w:t>分</w:t>
            </w:r>
          </w:p>
        </w:tc>
        <w:tc>
          <w:tcPr>
            <w:tcW w:w="5930" w:type="dxa"/>
            <w:vAlign w:val="center"/>
          </w:tcPr>
          <w:p w14:paraId="5F9697F7">
            <w:pPr>
              <w:pStyle w:val="35"/>
              <w:keepLines w:val="0"/>
              <w:kinsoku/>
              <w:wordWrap/>
              <w:overflowPunct/>
              <w:topLinePunct w:val="0"/>
              <w:bidi w:val="0"/>
              <w:spacing w:line="240" w:lineRule="auto"/>
              <w:jc w:val="both"/>
              <w:rPr>
                <w:rFonts w:hint="eastAsia"/>
                <w:lang w:val="en-US" w:eastAsia="zh-CN"/>
              </w:rPr>
            </w:pPr>
            <w:r>
              <w:rPr>
                <w:rFonts w:hint="eastAsia"/>
                <w:lang w:val="en-US" w:eastAsia="zh-CN"/>
              </w:rPr>
              <w:t>11</w:t>
            </w:r>
            <w:r>
              <w:rPr>
                <w:rFonts w:hint="eastAsia" w:ascii="宋体" w:hAnsi="宋体" w:eastAsia="宋体" w:cs="宋体"/>
                <w:lang w:val="en-US" w:eastAsia="zh-CN"/>
              </w:rPr>
              <w:t>～</w:t>
            </w:r>
            <w:r>
              <w:rPr>
                <w:rFonts w:hint="eastAsia" w:hAnsi="宋体" w:cs="宋体"/>
                <w:lang w:val="en-US" w:eastAsia="zh-CN"/>
              </w:rPr>
              <w:t>20分。</w:t>
            </w:r>
            <w:r>
              <w:rPr>
                <w:rFonts w:hint="eastAsia"/>
                <w:lang w:val="en-US" w:eastAsia="zh-CN"/>
              </w:rPr>
              <w:t>节能服务公司具备较强的对用能单位的能源利用、能源效率和能源管理等方面的诊断能力，能够通过诊断及时发现用能单位的节能潜力，用能状况诊断报告编制规范、结论和建议科学、准确。</w:t>
            </w:r>
          </w:p>
          <w:p w14:paraId="3F94A792">
            <w:pPr>
              <w:pStyle w:val="35"/>
              <w:keepLines w:val="0"/>
              <w:kinsoku/>
              <w:wordWrap/>
              <w:overflowPunct/>
              <w:topLinePunct w:val="0"/>
              <w:bidi w:val="0"/>
              <w:spacing w:line="240" w:lineRule="auto"/>
              <w:jc w:val="both"/>
              <w:rPr>
                <w:rFonts w:hint="default"/>
                <w:lang w:val="en-US" w:eastAsia="zh-CN"/>
              </w:rPr>
            </w:pPr>
            <w:r>
              <w:rPr>
                <w:rFonts w:hint="eastAsia" w:ascii="Times New Roman" w:cs="Times New Roman"/>
                <w:lang w:val="en-US" w:eastAsia="zh-CN"/>
              </w:rPr>
              <w:t>0</w:t>
            </w:r>
            <w:r>
              <w:rPr>
                <w:rFonts w:hint="eastAsia" w:ascii="宋体" w:hAnsi="宋体" w:eastAsia="宋体" w:cs="宋体"/>
                <w:lang w:val="en-US" w:eastAsia="zh-CN"/>
              </w:rPr>
              <w:t>～</w:t>
            </w:r>
            <w:r>
              <w:rPr>
                <w:rFonts w:hint="eastAsia" w:hAnsi="宋体" w:cs="宋体"/>
                <w:lang w:val="en-US" w:eastAsia="zh-CN"/>
              </w:rPr>
              <w:t>10分。对用能状况诊断的能力不足，节能潜力挖掘不充分，结论不够准确。</w:t>
            </w:r>
          </w:p>
        </w:tc>
      </w:tr>
      <w:tr w14:paraId="70A6DB0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1039" w:type="dxa"/>
            <w:vMerge w:val="continue"/>
            <w:vAlign w:val="center"/>
          </w:tcPr>
          <w:p w14:paraId="62733A33">
            <w:pPr>
              <w:pStyle w:val="35"/>
              <w:keepLines w:val="0"/>
              <w:kinsoku/>
              <w:wordWrap/>
              <w:overflowPunct/>
              <w:topLinePunct w:val="0"/>
              <w:bidi w:val="0"/>
              <w:spacing w:line="240" w:lineRule="auto"/>
              <w:jc w:val="center"/>
            </w:pPr>
          </w:p>
        </w:tc>
        <w:tc>
          <w:tcPr>
            <w:tcW w:w="1361" w:type="dxa"/>
            <w:vAlign w:val="center"/>
          </w:tcPr>
          <w:p w14:paraId="7C613675">
            <w:pPr>
              <w:pStyle w:val="35"/>
              <w:keepLines w:val="0"/>
              <w:kinsoku/>
              <w:wordWrap/>
              <w:overflowPunct/>
              <w:topLinePunct w:val="0"/>
              <w:bidi w:val="0"/>
              <w:spacing w:line="240" w:lineRule="auto"/>
              <w:jc w:val="center"/>
              <w:rPr>
                <w:rFonts w:hint="eastAsia" w:eastAsia="宋体"/>
                <w:lang w:val="en-US" w:eastAsia="zh-CN"/>
              </w:rPr>
            </w:pPr>
            <w:r>
              <w:rPr>
                <w:rFonts w:hint="eastAsia"/>
                <w:lang w:val="en-US" w:eastAsia="zh-CN"/>
              </w:rPr>
              <w:t>节能方案设计</w:t>
            </w:r>
          </w:p>
        </w:tc>
        <w:tc>
          <w:tcPr>
            <w:tcW w:w="940" w:type="dxa"/>
            <w:vAlign w:val="center"/>
          </w:tcPr>
          <w:p w14:paraId="73D127DB">
            <w:pPr>
              <w:pStyle w:val="35"/>
              <w:keepLines w:val="0"/>
              <w:kinsoku/>
              <w:wordWrap/>
              <w:overflowPunct/>
              <w:topLinePunct w:val="0"/>
              <w:bidi w:val="0"/>
              <w:spacing w:line="240" w:lineRule="auto"/>
              <w:jc w:val="center"/>
              <w:rPr>
                <w:rFonts w:hint="eastAsia"/>
                <w:lang w:val="en-US" w:eastAsia="zh-CN"/>
              </w:rPr>
            </w:pPr>
            <w:r>
              <w:rPr>
                <w:rFonts w:hint="eastAsia"/>
                <w:lang w:val="en-US" w:eastAsia="zh-CN"/>
              </w:rPr>
              <w:t>0</w:t>
            </w:r>
            <w:r>
              <w:rPr>
                <w:rFonts w:hint="eastAsia" w:ascii="宋体" w:hAnsi="宋体" w:eastAsia="宋体" w:cs="宋体"/>
                <w:lang w:val="en-US" w:eastAsia="zh-CN"/>
              </w:rPr>
              <w:t>～</w:t>
            </w:r>
            <w:r>
              <w:rPr>
                <w:rFonts w:hint="eastAsia" w:hAnsi="宋体" w:cs="宋体"/>
                <w:lang w:val="en-US" w:eastAsia="zh-CN"/>
              </w:rPr>
              <w:t>20</w:t>
            </w:r>
            <w:r>
              <w:rPr>
                <w:rFonts w:hint="eastAsia" w:ascii="宋体" w:hAnsi="宋体" w:eastAsia="宋体" w:cs="宋体"/>
                <w:lang w:val="en-US" w:eastAsia="zh-CN"/>
              </w:rPr>
              <w:t>分</w:t>
            </w:r>
          </w:p>
        </w:tc>
        <w:tc>
          <w:tcPr>
            <w:tcW w:w="5930" w:type="dxa"/>
            <w:vAlign w:val="center"/>
          </w:tcPr>
          <w:p w14:paraId="6C6081D4">
            <w:pPr>
              <w:pStyle w:val="35"/>
              <w:keepLines w:val="0"/>
              <w:kinsoku/>
              <w:wordWrap/>
              <w:overflowPunct/>
              <w:topLinePunct w:val="0"/>
              <w:bidi w:val="0"/>
              <w:spacing w:line="240" w:lineRule="auto"/>
              <w:jc w:val="both"/>
              <w:rPr>
                <w:rFonts w:hint="eastAsia" w:ascii="Times New Roman" w:hAnsi="Times New Roman" w:eastAsia="宋体" w:cs="Times New Roman"/>
                <w:lang w:val="en-US" w:eastAsia="zh-CN"/>
              </w:rPr>
            </w:pPr>
            <w:r>
              <w:rPr>
                <w:rFonts w:hint="eastAsia"/>
                <w:lang w:val="en-US" w:eastAsia="zh-CN"/>
              </w:rPr>
              <w:t>11</w:t>
            </w:r>
            <w:r>
              <w:rPr>
                <w:rFonts w:hint="eastAsia" w:ascii="宋体" w:hAnsi="宋体" w:eastAsia="宋体" w:cs="宋体"/>
                <w:lang w:val="en-US" w:eastAsia="zh-CN"/>
              </w:rPr>
              <w:t>～</w:t>
            </w:r>
            <w:r>
              <w:rPr>
                <w:rFonts w:hint="eastAsia" w:hAnsi="宋体" w:cs="宋体"/>
                <w:lang w:val="en-US" w:eastAsia="zh-CN"/>
              </w:rPr>
              <w:t>20分。</w:t>
            </w:r>
            <w:r>
              <w:rPr>
                <w:rFonts w:hint="eastAsia"/>
                <w:lang w:val="en-US" w:eastAsia="zh-CN"/>
              </w:rPr>
              <w:t>节</w:t>
            </w:r>
            <w:r>
              <w:rPr>
                <w:rFonts w:hint="eastAsia" w:ascii="Times New Roman" w:hAnsi="Times New Roman" w:eastAsia="宋体" w:cs="Times New Roman"/>
                <w:lang w:val="en-US" w:eastAsia="zh-CN"/>
              </w:rPr>
              <w:t>能服务公司制定</w:t>
            </w:r>
            <w:r>
              <w:rPr>
                <w:rFonts w:hint="eastAsia" w:ascii="Times New Roman" w:cs="Times New Roman"/>
                <w:lang w:val="en-US" w:eastAsia="zh-CN"/>
              </w:rPr>
              <w:t>的节能方案</w:t>
            </w:r>
            <w:r>
              <w:rPr>
                <w:rFonts w:hint="eastAsia" w:ascii="Times New Roman" w:hAnsi="Times New Roman" w:eastAsia="宋体" w:cs="Times New Roman"/>
                <w:lang w:val="en-US" w:eastAsia="zh-CN"/>
              </w:rPr>
              <w:t>符合合同约定</w:t>
            </w:r>
            <w:r>
              <w:rPr>
                <w:rFonts w:hint="eastAsia" w:ascii="Times New Roman" w:cs="Times New Roman"/>
                <w:lang w:val="en-US" w:eastAsia="zh-CN"/>
              </w:rPr>
              <w:t>和</w:t>
            </w:r>
            <w:r>
              <w:rPr>
                <w:rFonts w:hint="eastAsia" w:ascii="Times New Roman" w:hAnsi="Times New Roman" w:eastAsia="宋体" w:cs="Times New Roman"/>
                <w:lang w:val="en-US" w:eastAsia="zh-CN"/>
              </w:rPr>
              <w:t>相关标准规范要求，并具有</w:t>
            </w:r>
            <w:r>
              <w:rPr>
                <w:rFonts w:hint="eastAsia" w:ascii="Times New Roman" w:cs="Times New Roman"/>
                <w:lang w:val="en-US" w:eastAsia="zh-CN"/>
              </w:rPr>
              <w:t>较好的</w:t>
            </w:r>
            <w:r>
              <w:rPr>
                <w:rFonts w:hint="eastAsia" w:ascii="Times New Roman" w:hAnsi="Times New Roman" w:eastAsia="宋体" w:cs="Times New Roman"/>
                <w:lang w:val="en-US" w:eastAsia="zh-CN"/>
              </w:rPr>
              <w:t>技术可行性、经济合理性</w:t>
            </w:r>
            <w:r>
              <w:rPr>
                <w:rFonts w:hint="eastAsia" w:ascii="Times New Roman" w:cs="Times New Roman"/>
                <w:lang w:val="en-US" w:eastAsia="zh-CN"/>
              </w:rPr>
              <w:t>（投资回收期不超过行业平均水平）</w:t>
            </w:r>
            <w:r>
              <w:rPr>
                <w:rFonts w:hint="eastAsia" w:ascii="Times New Roman" w:hAnsi="Times New Roman" w:eastAsia="宋体" w:cs="Times New Roman"/>
                <w:lang w:val="en-US" w:eastAsia="zh-CN"/>
              </w:rPr>
              <w:t>。</w:t>
            </w:r>
          </w:p>
          <w:p w14:paraId="513562DC">
            <w:pPr>
              <w:pStyle w:val="35"/>
              <w:keepLines w:val="0"/>
              <w:kinsoku/>
              <w:wordWrap/>
              <w:overflowPunct/>
              <w:topLinePunct w:val="0"/>
              <w:bidi w:val="0"/>
              <w:spacing w:line="240" w:lineRule="auto"/>
              <w:jc w:val="both"/>
              <w:rPr>
                <w:rFonts w:hint="default" w:ascii="Times New Roman" w:hAnsi="Times New Roman" w:eastAsia="宋体" w:cs="Times New Roman"/>
                <w:lang w:val="en-US" w:eastAsia="zh-CN"/>
              </w:rPr>
            </w:pPr>
            <w:r>
              <w:rPr>
                <w:rFonts w:hint="eastAsia" w:ascii="Times New Roman" w:cs="Times New Roman"/>
                <w:lang w:val="en-US" w:eastAsia="zh-CN"/>
              </w:rPr>
              <w:t>0</w:t>
            </w:r>
            <w:r>
              <w:rPr>
                <w:rFonts w:hint="eastAsia" w:ascii="宋体" w:hAnsi="宋体" w:eastAsia="宋体" w:cs="宋体"/>
                <w:lang w:val="en-US" w:eastAsia="zh-CN"/>
              </w:rPr>
              <w:t>～</w:t>
            </w:r>
            <w:r>
              <w:rPr>
                <w:rFonts w:hint="eastAsia" w:hAnsi="宋体" w:cs="宋体"/>
                <w:lang w:val="en-US" w:eastAsia="zh-CN"/>
              </w:rPr>
              <w:t>10分。节能方案未完全符合合同约定或相关标准要求；缺乏核心技术论证和投资效益分析，无法充分满足用能单位实际需求。</w:t>
            </w:r>
          </w:p>
        </w:tc>
      </w:tr>
      <w:tr w14:paraId="7BC91BF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1039" w:type="dxa"/>
            <w:vMerge w:val="continue"/>
            <w:vAlign w:val="center"/>
          </w:tcPr>
          <w:p w14:paraId="5CA9FA10">
            <w:pPr>
              <w:pStyle w:val="35"/>
              <w:keepLines w:val="0"/>
              <w:kinsoku/>
              <w:wordWrap/>
              <w:overflowPunct/>
              <w:topLinePunct w:val="0"/>
              <w:bidi w:val="0"/>
              <w:spacing w:line="240" w:lineRule="auto"/>
              <w:jc w:val="center"/>
            </w:pPr>
          </w:p>
        </w:tc>
        <w:tc>
          <w:tcPr>
            <w:tcW w:w="1361" w:type="dxa"/>
            <w:vAlign w:val="center"/>
          </w:tcPr>
          <w:p w14:paraId="330D92C0">
            <w:pPr>
              <w:pStyle w:val="35"/>
              <w:keepLines w:val="0"/>
              <w:kinsoku/>
              <w:wordWrap/>
              <w:overflowPunct/>
              <w:topLinePunct w:val="0"/>
              <w:bidi w:val="0"/>
              <w:spacing w:line="240" w:lineRule="auto"/>
              <w:jc w:val="center"/>
              <w:rPr>
                <w:rFonts w:hint="default" w:eastAsia="宋体"/>
                <w:lang w:val="en-US" w:eastAsia="zh-CN"/>
              </w:rPr>
            </w:pPr>
            <w:r>
              <w:rPr>
                <w:rFonts w:hint="eastAsia"/>
                <w:lang w:val="en-US" w:eastAsia="zh-CN"/>
              </w:rPr>
              <w:t>施工管理能力</w:t>
            </w:r>
          </w:p>
        </w:tc>
        <w:tc>
          <w:tcPr>
            <w:tcW w:w="940" w:type="dxa"/>
            <w:vAlign w:val="center"/>
          </w:tcPr>
          <w:p w14:paraId="0A0C3C70">
            <w:pPr>
              <w:pStyle w:val="35"/>
              <w:keepLines w:val="0"/>
              <w:kinsoku/>
              <w:wordWrap/>
              <w:overflowPunct/>
              <w:topLinePunct w:val="0"/>
              <w:bidi w:val="0"/>
              <w:spacing w:line="240" w:lineRule="auto"/>
              <w:jc w:val="center"/>
              <w:rPr>
                <w:rFonts w:hint="eastAsia" w:ascii="Times New Roman" w:hAnsi="Times New Roman" w:eastAsia="宋体" w:cs="Times New Roman"/>
                <w:lang w:val="en-US" w:eastAsia="zh-CN"/>
              </w:rPr>
            </w:pPr>
            <w:r>
              <w:rPr>
                <w:rFonts w:hint="eastAsia"/>
                <w:lang w:val="en-US" w:eastAsia="zh-CN"/>
              </w:rPr>
              <w:t>0</w:t>
            </w:r>
            <w:r>
              <w:rPr>
                <w:rFonts w:hint="eastAsia" w:ascii="宋体" w:hAnsi="宋体" w:eastAsia="宋体" w:cs="宋体"/>
                <w:lang w:val="en-US" w:eastAsia="zh-CN"/>
              </w:rPr>
              <w:t>～</w:t>
            </w:r>
            <w:r>
              <w:rPr>
                <w:rFonts w:hint="eastAsia" w:hAnsi="宋体" w:cs="宋体"/>
                <w:lang w:val="en-US" w:eastAsia="zh-CN"/>
              </w:rPr>
              <w:t>25</w:t>
            </w:r>
            <w:r>
              <w:rPr>
                <w:rFonts w:hint="eastAsia" w:ascii="宋体" w:hAnsi="宋体" w:eastAsia="宋体" w:cs="宋体"/>
                <w:lang w:val="en-US" w:eastAsia="zh-CN"/>
              </w:rPr>
              <w:t>分</w:t>
            </w:r>
          </w:p>
        </w:tc>
        <w:tc>
          <w:tcPr>
            <w:tcW w:w="5930" w:type="dxa"/>
            <w:vAlign w:val="center"/>
          </w:tcPr>
          <w:p w14:paraId="6640DA86">
            <w:pPr>
              <w:pStyle w:val="35"/>
              <w:keepLines w:val="0"/>
              <w:kinsoku/>
              <w:wordWrap/>
              <w:overflowPunct/>
              <w:topLinePunct w:val="0"/>
              <w:bidi w:val="0"/>
              <w:spacing w:line="240" w:lineRule="auto"/>
              <w:jc w:val="both"/>
              <w:rPr>
                <w:rFonts w:hint="eastAsia" w:ascii="Times New Roman" w:hAnsi="Times New Roman" w:eastAsia="宋体" w:cs="Times New Roman"/>
                <w:lang w:val="en-US" w:eastAsia="zh-CN"/>
              </w:rPr>
            </w:pPr>
            <w:r>
              <w:rPr>
                <w:rFonts w:hint="eastAsia"/>
                <w:lang w:val="en-US" w:eastAsia="zh-CN"/>
              </w:rPr>
              <w:t>15</w:t>
            </w:r>
            <w:r>
              <w:rPr>
                <w:rFonts w:hint="eastAsia" w:ascii="宋体" w:hAnsi="宋体" w:eastAsia="宋体" w:cs="宋体"/>
                <w:lang w:val="en-US" w:eastAsia="zh-CN"/>
              </w:rPr>
              <w:t>～</w:t>
            </w:r>
            <w:r>
              <w:rPr>
                <w:rFonts w:hint="eastAsia" w:hAnsi="宋体" w:cs="宋体"/>
                <w:lang w:val="en-US" w:eastAsia="zh-CN"/>
              </w:rPr>
              <w:t>25分。</w:t>
            </w:r>
            <w:r>
              <w:rPr>
                <w:rFonts w:hint="eastAsia" w:ascii="Times New Roman" w:hAnsi="Times New Roman" w:eastAsia="宋体" w:cs="Times New Roman"/>
                <w:lang w:val="en-US" w:eastAsia="zh-CN"/>
              </w:rPr>
              <w:t>节能服务公司应具备较强的能源托管项目建设施工管理能力，或委托具备相应施工资质的专业机构与人员，保障施工服务高质量</w:t>
            </w:r>
            <w:r>
              <w:rPr>
                <w:rFonts w:hint="eastAsia" w:ascii="Times New Roman" w:cs="Times New Roman"/>
                <w:lang w:val="en-US" w:eastAsia="zh-CN"/>
              </w:rPr>
              <w:t>开展</w:t>
            </w:r>
            <w:r>
              <w:rPr>
                <w:rFonts w:hint="eastAsia" w:ascii="Times New Roman" w:hAnsi="Times New Roman" w:eastAsia="宋体" w:cs="Times New Roman"/>
                <w:lang w:val="en-US" w:eastAsia="zh-CN"/>
              </w:rPr>
              <w:t>。具体工作</w:t>
            </w:r>
            <w:r>
              <w:rPr>
                <w:rFonts w:hint="eastAsia" w:ascii="Times New Roman" w:cs="Times New Roman"/>
                <w:lang w:val="en-US" w:eastAsia="zh-CN"/>
              </w:rPr>
              <w:t>包括：</w:t>
            </w:r>
            <w:r>
              <w:rPr>
                <w:rFonts w:hint="eastAsia" w:ascii="Times New Roman" w:hAnsi="Times New Roman" w:eastAsia="宋体" w:cs="Times New Roman"/>
                <w:lang w:val="en-US" w:eastAsia="zh-CN"/>
              </w:rPr>
              <w:t>施工前期完成对项目现场现状的全面核查与确认，重点覆盖各类用能设备及能源系统的运行参数、配置情况等关键内容；施工过程中统筹做好现场后勤保障、人员调度、施工质量巡检；</w:t>
            </w:r>
            <w:r>
              <w:rPr>
                <w:rFonts w:hint="eastAsia" w:ascii="Times New Roman" w:cs="Times New Roman"/>
                <w:lang w:val="en-US" w:eastAsia="zh-CN"/>
              </w:rPr>
              <w:t>建立</w:t>
            </w:r>
            <w:r>
              <w:rPr>
                <w:rFonts w:hint="eastAsia" w:ascii="Times New Roman" w:hAnsi="Times New Roman" w:eastAsia="宋体" w:cs="Times New Roman"/>
                <w:lang w:val="en-US" w:eastAsia="zh-CN"/>
              </w:rPr>
              <w:t>竣工验收管理制度等</w:t>
            </w:r>
            <w:r>
              <w:rPr>
                <w:rFonts w:hint="eastAsia" w:ascii="Times New Roman" w:cs="Times New Roman"/>
                <w:lang w:val="en-US" w:eastAsia="zh-CN"/>
              </w:rPr>
              <w:t>。</w:t>
            </w:r>
            <w:r>
              <w:rPr>
                <w:rFonts w:hint="eastAsia" w:ascii="Times New Roman" w:hAnsi="Times New Roman" w:eastAsia="宋体" w:cs="Times New Roman"/>
                <w:lang w:val="en-US" w:eastAsia="zh-CN"/>
              </w:rPr>
              <w:t>若采用施工外包模式，需建立健全外包服务商筛选、过程管控、质量追溯等全流程管控机制。</w:t>
            </w:r>
          </w:p>
          <w:p w14:paraId="69E4AB06">
            <w:pPr>
              <w:pStyle w:val="35"/>
              <w:keepLines w:val="0"/>
              <w:kinsoku/>
              <w:wordWrap/>
              <w:overflowPunct/>
              <w:topLinePunct w:val="0"/>
              <w:bidi w:val="0"/>
              <w:spacing w:line="240" w:lineRule="auto"/>
              <w:jc w:val="both"/>
              <w:rPr>
                <w:rFonts w:hint="eastAsia" w:ascii="Times New Roman" w:hAnsi="Times New Roman" w:eastAsia="宋体" w:cs="Times New Roman"/>
                <w:lang w:val="en-US" w:eastAsia="zh-CN"/>
              </w:rPr>
            </w:pPr>
            <w:r>
              <w:rPr>
                <w:rFonts w:hint="eastAsia"/>
                <w:lang w:val="en-US" w:eastAsia="zh-CN"/>
              </w:rPr>
              <w:t>0</w:t>
            </w:r>
            <w:r>
              <w:rPr>
                <w:rFonts w:hint="eastAsia" w:ascii="宋体" w:hAnsi="宋体" w:eastAsia="宋体" w:cs="宋体"/>
                <w:lang w:val="en-US" w:eastAsia="zh-CN"/>
              </w:rPr>
              <w:t>～</w:t>
            </w:r>
            <w:r>
              <w:rPr>
                <w:rFonts w:hint="eastAsia" w:hAnsi="宋体" w:cs="宋体"/>
                <w:lang w:val="en-US" w:eastAsia="zh-CN"/>
              </w:rPr>
              <w:t>14分。节能服务公司的能源托管项目建设施工管理能力较弱，或委托的施工合作方不具备对应施工资质与专业服务能力，无法保障施工服务质量。若采用施工外包模式，未建立外包服务商筛选、过程管控、质量追溯等相关管控机制，或机制执行不到位。</w:t>
            </w:r>
          </w:p>
        </w:tc>
      </w:tr>
      <w:tr w14:paraId="021C30F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1039" w:type="dxa"/>
            <w:vMerge w:val="continue"/>
            <w:vAlign w:val="center"/>
          </w:tcPr>
          <w:p w14:paraId="1575FAD1">
            <w:pPr>
              <w:pStyle w:val="35"/>
              <w:keepLines w:val="0"/>
              <w:kinsoku/>
              <w:wordWrap/>
              <w:overflowPunct/>
              <w:topLinePunct w:val="0"/>
              <w:bidi w:val="0"/>
              <w:spacing w:line="240" w:lineRule="auto"/>
              <w:jc w:val="center"/>
            </w:pPr>
          </w:p>
        </w:tc>
        <w:tc>
          <w:tcPr>
            <w:tcW w:w="1361" w:type="dxa"/>
            <w:vAlign w:val="center"/>
          </w:tcPr>
          <w:p w14:paraId="3CAEF321">
            <w:pPr>
              <w:pStyle w:val="35"/>
              <w:keepLines w:val="0"/>
              <w:kinsoku/>
              <w:wordWrap/>
              <w:overflowPunct/>
              <w:topLinePunct w:val="0"/>
              <w:bidi w:val="0"/>
              <w:spacing w:line="240" w:lineRule="auto"/>
              <w:jc w:val="center"/>
              <w:rPr>
                <w:rFonts w:hint="default" w:eastAsia="宋体"/>
                <w:lang w:val="en-US" w:eastAsia="zh-CN"/>
              </w:rPr>
            </w:pPr>
            <w:r>
              <w:rPr>
                <w:rFonts w:hint="eastAsia"/>
                <w:lang w:val="en-US" w:eastAsia="zh-CN"/>
              </w:rPr>
              <w:t>运行维护能力</w:t>
            </w:r>
          </w:p>
        </w:tc>
        <w:tc>
          <w:tcPr>
            <w:tcW w:w="940" w:type="dxa"/>
            <w:vAlign w:val="center"/>
          </w:tcPr>
          <w:p w14:paraId="782FCC37">
            <w:pPr>
              <w:pStyle w:val="35"/>
              <w:keepLines w:val="0"/>
              <w:kinsoku/>
              <w:wordWrap/>
              <w:overflowPunct/>
              <w:topLinePunct w:val="0"/>
              <w:bidi w:val="0"/>
              <w:spacing w:line="240" w:lineRule="auto"/>
              <w:jc w:val="center"/>
              <w:rPr>
                <w:rFonts w:ascii="Segoe UI" w:hAnsi="Segoe UI" w:eastAsia="Segoe UI" w:cs="Segoe UI"/>
                <w:i w:val="0"/>
                <w:iCs w:val="0"/>
                <w:caps w:val="0"/>
                <w:spacing w:val="0"/>
                <w:sz w:val="19"/>
                <w:szCs w:val="19"/>
                <w:shd w:val="clear" w:fill="FFFFFF"/>
              </w:rPr>
            </w:pPr>
            <w:r>
              <w:rPr>
                <w:rFonts w:hint="eastAsia"/>
                <w:lang w:val="en-US" w:eastAsia="zh-CN"/>
              </w:rPr>
              <w:t>0</w:t>
            </w:r>
            <w:r>
              <w:rPr>
                <w:rFonts w:hint="eastAsia" w:ascii="宋体" w:hAnsi="宋体" w:eastAsia="宋体" w:cs="宋体"/>
                <w:lang w:val="en-US" w:eastAsia="zh-CN"/>
              </w:rPr>
              <w:t>～</w:t>
            </w:r>
            <w:r>
              <w:rPr>
                <w:rFonts w:hint="eastAsia" w:hAnsi="宋体" w:cs="宋体"/>
                <w:lang w:val="en-US" w:eastAsia="zh-CN"/>
              </w:rPr>
              <w:t>20</w:t>
            </w:r>
            <w:r>
              <w:rPr>
                <w:rFonts w:hint="eastAsia" w:ascii="宋体" w:hAnsi="宋体" w:eastAsia="宋体" w:cs="宋体"/>
                <w:lang w:val="en-US" w:eastAsia="zh-CN"/>
              </w:rPr>
              <w:t>分</w:t>
            </w:r>
          </w:p>
        </w:tc>
        <w:tc>
          <w:tcPr>
            <w:tcW w:w="5930" w:type="dxa"/>
            <w:vAlign w:val="center"/>
          </w:tcPr>
          <w:p w14:paraId="08F980CA">
            <w:pPr>
              <w:pStyle w:val="35"/>
              <w:keepLines w:val="0"/>
              <w:kinsoku/>
              <w:wordWrap/>
              <w:overflowPunct/>
              <w:topLinePunct w:val="0"/>
              <w:bidi w:val="0"/>
              <w:spacing w:line="240" w:lineRule="auto"/>
              <w:jc w:val="both"/>
              <w:rPr>
                <w:rFonts w:hint="eastAsia"/>
                <w:lang w:val="en-US" w:eastAsia="zh-CN"/>
              </w:rPr>
            </w:pPr>
            <w:r>
              <w:rPr>
                <w:rFonts w:hint="eastAsia"/>
                <w:lang w:val="en-US" w:eastAsia="zh-CN"/>
              </w:rPr>
              <w:t>11～20分。节能服务公司具备完善的能源托管项目运维服务能力，建立能源统计分析、值班、定期巡回检查、设备维护保养等制度，并针对运维人员建立能力培训、岗位管理、绩效考评体系。</w:t>
            </w:r>
          </w:p>
          <w:p w14:paraId="2960BB92">
            <w:pPr>
              <w:pStyle w:val="35"/>
              <w:keepLines w:val="0"/>
              <w:kinsoku/>
              <w:wordWrap/>
              <w:overflowPunct/>
              <w:topLinePunct w:val="0"/>
              <w:bidi w:val="0"/>
              <w:spacing w:line="240" w:lineRule="auto"/>
              <w:jc w:val="both"/>
              <w:rPr>
                <w:rFonts w:hint="eastAsia"/>
                <w:lang w:val="en-US" w:eastAsia="zh-CN"/>
              </w:rPr>
            </w:pPr>
            <w:r>
              <w:rPr>
                <w:rFonts w:hint="default"/>
                <w:lang w:val="en-US" w:eastAsia="zh-CN"/>
              </w:rPr>
              <w:t>0～1</w:t>
            </w:r>
            <w:r>
              <w:rPr>
                <w:rFonts w:hint="eastAsia"/>
                <w:lang w:val="en-US" w:eastAsia="zh-CN"/>
              </w:rPr>
              <w:t>0</w:t>
            </w:r>
            <w:r>
              <w:rPr>
                <w:rFonts w:hint="default"/>
                <w:lang w:val="en-US" w:eastAsia="zh-CN"/>
              </w:rPr>
              <w:t>分</w:t>
            </w:r>
            <w:r>
              <w:rPr>
                <w:rFonts w:hint="eastAsia"/>
                <w:lang w:val="en-US" w:eastAsia="zh-CN"/>
              </w:rPr>
              <w:t>。节能服务公司能源托管项目运维服务能力薄弱，无法保障项目规范高效运行。如，未建立科学合理的运维管理制度，或相关制度不健全；未针对运维人员建立能力培训、岗位管理、绩效考评等相关制度，运维团队专业能力与服务水平不足。</w:t>
            </w:r>
          </w:p>
        </w:tc>
      </w:tr>
      <w:tr w14:paraId="2A05EB1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1039" w:type="dxa"/>
            <w:vMerge w:val="continue"/>
            <w:vAlign w:val="center"/>
          </w:tcPr>
          <w:p w14:paraId="7F91292A">
            <w:pPr>
              <w:pStyle w:val="35"/>
              <w:keepLines w:val="0"/>
              <w:kinsoku/>
              <w:wordWrap/>
              <w:overflowPunct/>
              <w:topLinePunct w:val="0"/>
              <w:bidi w:val="0"/>
              <w:spacing w:line="240" w:lineRule="auto"/>
              <w:jc w:val="center"/>
            </w:pPr>
          </w:p>
        </w:tc>
        <w:tc>
          <w:tcPr>
            <w:tcW w:w="1361" w:type="dxa"/>
            <w:vAlign w:val="center"/>
          </w:tcPr>
          <w:p w14:paraId="75A2236D">
            <w:pPr>
              <w:pStyle w:val="35"/>
              <w:keepLines w:val="0"/>
              <w:kinsoku/>
              <w:wordWrap/>
              <w:overflowPunct/>
              <w:topLinePunct w:val="0"/>
              <w:bidi w:val="0"/>
              <w:spacing w:line="240" w:lineRule="auto"/>
              <w:jc w:val="center"/>
              <w:rPr>
                <w:rFonts w:hint="default" w:eastAsia="宋体"/>
                <w:lang w:val="en-US" w:eastAsia="zh-CN"/>
              </w:rPr>
            </w:pPr>
            <w:r>
              <w:rPr>
                <w:rFonts w:hint="eastAsia"/>
                <w:lang w:val="en-US" w:eastAsia="zh-CN"/>
              </w:rPr>
              <w:t>项目移交</w:t>
            </w:r>
          </w:p>
        </w:tc>
        <w:tc>
          <w:tcPr>
            <w:tcW w:w="940" w:type="dxa"/>
            <w:vAlign w:val="center"/>
          </w:tcPr>
          <w:p w14:paraId="436A68CF">
            <w:pPr>
              <w:pStyle w:val="35"/>
              <w:keepLines w:val="0"/>
              <w:kinsoku/>
              <w:wordWrap/>
              <w:overflowPunct/>
              <w:topLinePunct w:val="0"/>
              <w:bidi w:val="0"/>
              <w:spacing w:line="240" w:lineRule="auto"/>
              <w:jc w:val="center"/>
              <w:rPr>
                <w:rFonts w:hint="eastAsia" w:ascii="Segoe UI" w:hAnsi="Segoe UI" w:eastAsia="Segoe UI" w:cs="Segoe UI"/>
                <w:i w:val="0"/>
                <w:iCs w:val="0"/>
                <w:caps w:val="0"/>
                <w:spacing w:val="0"/>
                <w:sz w:val="19"/>
                <w:szCs w:val="19"/>
                <w:shd w:val="clear" w:fill="FFFFFF"/>
                <w:lang w:val="en-US" w:eastAsia="zh-CN"/>
              </w:rPr>
            </w:pPr>
            <w:r>
              <w:rPr>
                <w:rFonts w:hint="eastAsia"/>
                <w:lang w:val="en-US" w:eastAsia="zh-CN"/>
              </w:rPr>
              <w:t>0</w:t>
            </w:r>
            <w:r>
              <w:rPr>
                <w:rFonts w:hint="eastAsia" w:ascii="宋体" w:hAnsi="宋体" w:eastAsia="宋体" w:cs="宋体"/>
                <w:lang w:val="en-US" w:eastAsia="zh-CN"/>
              </w:rPr>
              <w:t>～</w:t>
            </w:r>
            <w:r>
              <w:rPr>
                <w:rFonts w:hint="eastAsia" w:hAnsi="宋体" w:cs="宋体"/>
                <w:lang w:val="en-US" w:eastAsia="zh-CN"/>
              </w:rPr>
              <w:t>15</w:t>
            </w:r>
            <w:r>
              <w:rPr>
                <w:rFonts w:hint="eastAsia" w:ascii="宋体" w:hAnsi="宋体" w:eastAsia="宋体" w:cs="宋体"/>
                <w:lang w:val="en-US" w:eastAsia="zh-CN"/>
              </w:rPr>
              <w:t>分</w:t>
            </w:r>
          </w:p>
        </w:tc>
        <w:tc>
          <w:tcPr>
            <w:tcW w:w="5930" w:type="dxa"/>
            <w:vAlign w:val="center"/>
          </w:tcPr>
          <w:p w14:paraId="67477C69">
            <w:pPr>
              <w:pStyle w:val="35"/>
              <w:keepLines w:val="0"/>
              <w:kinsoku/>
              <w:wordWrap/>
              <w:overflowPunct/>
              <w:topLinePunct w:val="0"/>
              <w:bidi w:val="0"/>
              <w:spacing w:line="240" w:lineRule="auto"/>
              <w:jc w:val="both"/>
              <w:rPr>
                <w:rFonts w:hint="eastAsia" w:ascii="Segoe UI" w:hAnsi="Segoe UI" w:eastAsia="Segoe UI" w:cs="Segoe UI"/>
                <w:i w:val="0"/>
                <w:iCs w:val="0"/>
                <w:caps w:val="0"/>
                <w:spacing w:val="0"/>
                <w:sz w:val="19"/>
                <w:szCs w:val="19"/>
                <w:shd w:val="clear" w:fill="FFFFFF"/>
                <w:lang w:val="en-US" w:eastAsia="zh-CN"/>
              </w:rPr>
            </w:pPr>
            <w:r>
              <w:rPr>
                <w:rFonts w:hint="eastAsia"/>
                <w:lang w:val="en-US" w:eastAsia="zh-CN"/>
              </w:rPr>
              <w:t>8</w:t>
            </w:r>
            <w:r>
              <w:rPr>
                <w:rFonts w:hint="eastAsia" w:ascii="宋体" w:hAnsi="宋体" w:eastAsia="宋体" w:cs="宋体"/>
                <w:lang w:val="en-US" w:eastAsia="zh-CN"/>
              </w:rPr>
              <w:t>～</w:t>
            </w:r>
            <w:r>
              <w:rPr>
                <w:rFonts w:hint="eastAsia" w:hAnsi="宋体" w:cs="宋体"/>
                <w:lang w:val="en-US" w:eastAsia="zh-CN"/>
              </w:rPr>
              <w:t>15分。</w:t>
            </w:r>
            <w:r>
              <w:rPr>
                <w:rFonts w:hint="eastAsia" w:ascii="Segoe UI" w:hAnsi="Segoe UI" w:eastAsia="Segoe UI" w:cs="Segoe UI"/>
                <w:i w:val="0"/>
                <w:iCs w:val="0"/>
                <w:caps w:val="0"/>
                <w:spacing w:val="0"/>
                <w:sz w:val="19"/>
                <w:szCs w:val="19"/>
                <w:shd w:val="clear" w:fill="FFFFFF"/>
                <w:lang w:val="en-US" w:eastAsia="zh-CN"/>
              </w:rPr>
              <w:t>托管合同结束前1个月，节能服务公司对托管范围内的用能系统或设备进行全面排查检修，保证用能系统或设备能正常运行（达到合同约定的技术参数）；托管合同结束后，无偿向用能单位移交设备设施及完整技术资料（含设备台账、运维记录、竣工图纸、操作手册等），并对用能单位操作人员开展培训。</w:t>
            </w:r>
          </w:p>
          <w:p w14:paraId="38C1E9A6">
            <w:pPr>
              <w:pStyle w:val="35"/>
              <w:keepLines w:val="0"/>
              <w:kinsoku/>
              <w:wordWrap/>
              <w:overflowPunct/>
              <w:topLinePunct w:val="0"/>
              <w:bidi w:val="0"/>
              <w:spacing w:line="240" w:lineRule="auto"/>
              <w:jc w:val="both"/>
              <w:rPr>
                <w:rFonts w:hint="default" w:ascii="Segoe UI" w:hAnsi="Segoe UI" w:eastAsia="Segoe UI" w:cs="Segoe UI"/>
                <w:i w:val="0"/>
                <w:iCs w:val="0"/>
                <w:caps w:val="0"/>
                <w:spacing w:val="0"/>
                <w:sz w:val="19"/>
                <w:szCs w:val="19"/>
                <w:shd w:val="clear" w:fill="FFFFFF"/>
                <w:lang w:val="en-US" w:eastAsia="zh-CN"/>
              </w:rPr>
            </w:pPr>
            <w:r>
              <w:rPr>
                <w:rFonts w:hint="eastAsia"/>
                <w:lang w:val="en-US" w:eastAsia="zh-CN"/>
              </w:rPr>
              <w:t>0</w:t>
            </w:r>
            <w:r>
              <w:rPr>
                <w:rFonts w:hint="eastAsia" w:ascii="宋体" w:hAnsi="宋体" w:eastAsia="宋体" w:cs="宋体"/>
                <w:lang w:val="en-US" w:eastAsia="zh-CN"/>
              </w:rPr>
              <w:t>～</w:t>
            </w:r>
            <w:r>
              <w:rPr>
                <w:rFonts w:hint="eastAsia" w:hAnsi="宋体" w:cs="宋体"/>
                <w:lang w:val="en-US" w:eastAsia="zh-CN"/>
              </w:rPr>
              <w:t>7分。节能服务公司移交给用能单位的设备设施不能稳定、高效运行，或存在故障未解决，未开展对用能单位的技术培训，移交的技术资料不完整。</w:t>
            </w:r>
          </w:p>
        </w:tc>
      </w:tr>
      <w:tr w14:paraId="3B0B662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1039" w:type="dxa"/>
            <w:vMerge w:val="restart"/>
            <w:vAlign w:val="center"/>
          </w:tcPr>
          <w:p w14:paraId="2E18589A">
            <w:pPr>
              <w:pStyle w:val="35"/>
              <w:keepLines w:val="0"/>
              <w:kinsoku/>
              <w:wordWrap/>
              <w:overflowPunct/>
              <w:topLinePunct w:val="0"/>
              <w:bidi w:val="0"/>
              <w:spacing w:line="240" w:lineRule="auto"/>
              <w:jc w:val="center"/>
              <w:rPr>
                <w:rFonts w:hint="eastAsia"/>
                <w:lang w:val="en-US" w:eastAsia="zh-CN"/>
              </w:rPr>
            </w:pPr>
            <w:r>
              <w:rPr>
                <w:rFonts w:hint="eastAsia"/>
                <w:lang w:val="en-US" w:eastAsia="zh-CN"/>
              </w:rPr>
              <w:t>服务绩效</w:t>
            </w:r>
          </w:p>
          <w:p w14:paraId="06522577">
            <w:pPr>
              <w:pStyle w:val="35"/>
              <w:keepLines w:val="0"/>
              <w:kinsoku/>
              <w:wordWrap/>
              <w:overflowPunct/>
              <w:topLinePunct w:val="0"/>
              <w:bidi w:val="0"/>
              <w:spacing w:line="240" w:lineRule="auto"/>
              <w:jc w:val="center"/>
              <w:rPr>
                <w:rFonts w:hint="default"/>
                <w:lang w:val="en-US" w:eastAsia="zh-CN"/>
              </w:rPr>
            </w:pPr>
            <w:r>
              <w:rPr>
                <w:rFonts w:hint="eastAsia"/>
                <w:lang w:val="en-US" w:eastAsia="zh-CN"/>
              </w:rPr>
              <w:t>（30%）</w:t>
            </w:r>
          </w:p>
        </w:tc>
        <w:tc>
          <w:tcPr>
            <w:tcW w:w="1361" w:type="dxa"/>
            <w:vAlign w:val="center"/>
          </w:tcPr>
          <w:p w14:paraId="06454F8B">
            <w:pPr>
              <w:pStyle w:val="35"/>
              <w:keepLines w:val="0"/>
              <w:kinsoku/>
              <w:wordWrap/>
              <w:overflowPunct/>
              <w:topLinePunct w:val="0"/>
              <w:bidi w:val="0"/>
              <w:spacing w:line="240" w:lineRule="auto"/>
              <w:jc w:val="center"/>
              <w:rPr>
                <w:rFonts w:hint="default" w:eastAsia="宋体"/>
                <w:lang w:val="en-US" w:eastAsia="zh-CN"/>
              </w:rPr>
            </w:pPr>
            <w:r>
              <w:rPr>
                <w:rFonts w:hint="eastAsia"/>
                <w:lang w:val="en-US" w:eastAsia="zh-CN"/>
              </w:rPr>
              <w:t>项目数量</w:t>
            </w:r>
          </w:p>
        </w:tc>
        <w:tc>
          <w:tcPr>
            <w:tcW w:w="940" w:type="dxa"/>
            <w:vAlign w:val="center"/>
          </w:tcPr>
          <w:p w14:paraId="7FB4E245">
            <w:pPr>
              <w:pStyle w:val="35"/>
              <w:keepLines w:val="0"/>
              <w:kinsoku/>
              <w:wordWrap/>
              <w:overflowPunct/>
              <w:topLinePunct w:val="0"/>
              <w:bidi w:val="0"/>
              <w:spacing w:line="240" w:lineRule="auto"/>
              <w:jc w:val="center"/>
              <w:rPr>
                <w:rFonts w:hint="eastAsia"/>
                <w:lang w:val="en-US" w:eastAsia="zh-CN"/>
              </w:rPr>
            </w:pPr>
            <w:r>
              <w:rPr>
                <w:rFonts w:hint="eastAsia"/>
                <w:lang w:val="en-US" w:eastAsia="zh-CN"/>
              </w:rPr>
              <w:t>0</w:t>
            </w:r>
            <w:r>
              <w:rPr>
                <w:rFonts w:hint="eastAsia" w:ascii="宋体" w:hAnsi="宋体" w:eastAsia="宋体" w:cs="宋体"/>
                <w:lang w:val="en-US" w:eastAsia="zh-CN"/>
              </w:rPr>
              <w:t>～</w:t>
            </w:r>
            <w:r>
              <w:rPr>
                <w:rFonts w:hint="eastAsia" w:hAnsi="宋体" w:cs="宋体"/>
                <w:lang w:val="en-US" w:eastAsia="zh-CN"/>
              </w:rPr>
              <w:t>20</w:t>
            </w:r>
            <w:r>
              <w:rPr>
                <w:rFonts w:hint="eastAsia" w:ascii="宋体" w:hAnsi="宋体" w:eastAsia="宋体" w:cs="宋体"/>
                <w:lang w:val="en-US" w:eastAsia="zh-CN"/>
              </w:rPr>
              <w:t>分</w:t>
            </w:r>
          </w:p>
        </w:tc>
        <w:tc>
          <w:tcPr>
            <w:tcW w:w="5930" w:type="dxa"/>
            <w:vAlign w:val="center"/>
          </w:tcPr>
          <w:p w14:paraId="591720E5">
            <w:pPr>
              <w:pStyle w:val="35"/>
              <w:keepLines w:val="0"/>
              <w:kinsoku/>
              <w:wordWrap/>
              <w:overflowPunct/>
              <w:topLinePunct w:val="0"/>
              <w:bidi w:val="0"/>
              <w:spacing w:line="240" w:lineRule="auto"/>
              <w:jc w:val="both"/>
              <w:rPr>
                <w:rFonts w:hint="eastAsia"/>
                <w:lang w:val="en-US" w:eastAsia="zh-CN"/>
              </w:rPr>
            </w:pPr>
            <w:r>
              <w:rPr>
                <w:rFonts w:hint="eastAsia"/>
                <w:lang w:val="en-US" w:eastAsia="zh-CN"/>
              </w:rPr>
              <w:t>11～20分。节能服务公司成功实施过5个以上能源托管项目。</w:t>
            </w:r>
          </w:p>
          <w:p w14:paraId="6CE89735">
            <w:pPr>
              <w:pStyle w:val="35"/>
              <w:keepLines w:val="0"/>
              <w:kinsoku/>
              <w:wordWrap/>
              <w:overflowPunct/>
              <w:topLinePunct w:val="0"/>
              <w:bidi w:val="0"/>
              <w:spacing w:line="240" w:lineRule="auto"/>
              <w:jc w:val="both"/>
              <w:rPr>
                <w:rFonts w:hint="default"/>
                <w:lang w:val="en-US" w:eastAsia="zh-CN"/>
              </w:rPr>
            </w:pPr>
            <w:r>
              <w:rPr>
                <w:rFonts w:hint="default"/>
                <w:lang w:val="en-US" w:eastAsia="zh-CN"/>
              </w:rPr>
              <w:t>0～1</w:t>
            </w:r>
            <w:r>
              <w:rPr>
                <w:rFonts w:hint="eastAsia"/>
                <w:lang w:val="en-US" w:eastAsia="zh-CN"/>
              </w:rPr>
              <w:t>0</w:t>
            </w:r>
            <w:r>
              <w:rPr>
                <w:rFonts w:hint="default"/>
                <w:lang w:val="en-US" w:eastAsia="zh-CN"/>
              </w:rPr>
              <w:t>分</w:t>
            </w:r>
            <w:r>
              <w:rPr>
                <w:rFonts w:hint="eastAsia"/>
                <w:lang w:val="en-US" w:eastAsia="zh-CN"/>
              </w:rPr>
              <w:t>。节能服务公司实施过0～4个能源托管项目。</w:t>
            </w:r>
          </w:p>
        </w:tc>
      </w:tr>
      <w:tr w14:paraId="582CA1C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1039" w:type="dxa"/>
            <w:vMerge w:val="continue"/>
            <w:vAlign w:val="center"/>
          </w:tcPr>
          <w:p w14:paraId="6FC7F2D8">
            <w:pPr>
              <w:pStyle w:val="35"/>
              <w:keepLines w:val="0"/>
              <w:kinsoku/>
              <w:wordWrap/>
              <w:overflowPunct/>
              <w:topLinePunct w:val="0"/>
              <w:bidi w:val="0"/>
              <w:spacing w:line="240" w:lineRule="auto"/>
              <w:jc w:val="center"/>
            </w:pPr>
          </w:p>
        </w:tc>
        <w:tc>
          <w:tcPr>
            <w:tcW w:w="1361" w:type="dxa"/>
            <w:vAlign w:val="center"/>
          </w:tcPr>
          <w:p w14:paraId="756219D1">
            <w:pPr>
              <w:pStyle w:val="35"/>
              <w:keepLines w:val="0"/>
              <w:kinsoku/>
              <w:wordWrap/>
              <w:overflowPunct/>
              <w:topLinePunct w:val="0"/>
              <w:bidi w:val="0"/>
              <w:spacing w:line="240" w:lineRule="auto"/>
              <w:jc w:val="center"/>
              <w:rPr>
                <w:rFonts w:hint="eastAsia" w:eastAsia="宋体"/>
                <w:lang w:val="en-US" w:eastAsia="zh-CN"/>
              </w:rPr>
            </w:pPr>
            <w:r>
              <w:rPr>
                <w:rFonts w:hint="eastAsia"/>
                <w:lang w:val="en-US" w:eastAsia="zh-CN"/>
              </w:rPr>
              <w:t>客户满意度</w:t>
            </w:r>
          </w:p>
        </w:tc>
        <w:tc>
          <w:tcPr>
            <w:tcW w:w="940" w:type="dxa"/>
            <w:vAlign w:val="center"/>
          </w:tcPr>
          <w:p w14:paraId="4A489DA9">
            <w:pPr>
              <w:pStyle w:val="35"/>
              <w:keepLines w:val="0"/>
              <w:kinsoku/>
              <w:wordWrap/>
              <w:overflowPunct/>
              <w:topLinePunct w:val="0"/>
              <w:bidi w:val="0"/>
              <w:spacing w:line="240" w:lineRule="auto"/>
              <w:jc w:val="center"/>
              <w:rPr>
                <w:rFonts w:hint="eastAsia" w:ascii="Segoe UI" w:hAnsi="Segoe UI" w:eastAsia="Segoe UI" w:cs="Segoe UI"/>
                <w:i w:val="0"/>
                <w:iCs w:val="0"/>
                <w:caps w:val="0"/>
                <w:spacing w:val="0"/>
                <w:sz w:val="19"/>
                <w:szCs w:val="19"/>
                <w:shd w:val="clear" w:fill="FFFFFF"/>
                <w:lang w:val="en-US" w:eastAsia="zh-CN"/>
              </w:rPr>
            </w:pPr>
            <w:r>
              <w:rPr>
                <w:rFonts w:hint="eastAsia"/>
                <w:lang w:val="en-US" w:eastAsia="zh-CN"/>
              </w:rPr>
              <w:t>0</w:t>
            </w:r>
            <w:r>
              <w:rPr>
                <w:rFonts w:hint="eastAsia" w:ascii="宋体" w:hAnsi="宋体" w:eastAsia="宋体" w:cs="宋体"/>
                <w:lang w:val="en-US" w:eastAsia="zh-CN"/>
              </w:rPr>
              <w:t>～</w:t>
            </w:r>
            <w:r>
              <w:rPr>
                <w:rFonts w:hint="eastAsia" w:hAnsi="宋体" w:cs="宋体"/>
                <w:lang w:val="en-US" w:eastAsia="zh-CN"/>
              </w:rPr>
              <w:t>20</w:t>
            </w:r>
            <w:r>
              <w:rPr>
                <w:rFonts w:hint="eastAsia" w:ascii="宋体" w:hAnsi="宋体" w:eastAsia="宋体" w:cs="宋体"/>
                <w:lang w:val="en-US" w:eastAsia="zh-CN"/>
              </w:rPr>
              <w:t>分</w:t>
            </w:r>
          </w:p>
        </w:tc>
        <w:tc>
          <w:tcPr>
            <w:tcW w:w="5930" w:type="dxa"/>
            <w:vAlign w:val="center"/>
          </w:tcPr>
          <w:p w14:paraId="3C4F22B0">
            <w:pPr>
              <w:pStyle w:val="35"/>
              <w:keepLines w:val="0"/>
              <w:kinsoku/>
              <w:wordWrap/>
              <w:overflowPunct/>
              <w:topLinePunct w:val="0"/>
              <w:bidi w:val="0"/>
              <w:spacing w:line="240" w:lineRule="auto"/>
              <w:jc w:val="both"/>
              <w:rPr>
                <w:rFonts w:hint="eastAsia"/>
                <w:lang w:val="en-US" w:eastAsia="zh-CN"/>
              </w:rPr>
            </w:pPr>
            <w:r>
              <w:rPr>
                <w:rFonts w:hint="eastAsia"/>
                <w:lang w:val="en-US" w:eastAsia="zh-CN"/>
              </w:rPr>
              <w:t>16～20分。客户总体满意度达到90%以上。</w:t>
            </w:r>
          </w:p>
          <w:p w14:paraId="16BB1BB9">
            <w:pPr>
              <w:pStyle w:val="35"/>
              <w:keepLines w:val="0"/>
              <w:kinsoku/>
              <w:wordWrap/>
              <w:overflowPunct/>
              <w:topLinePunct w:val="0"/>
              <w:bidi w:val="0"/>
              <w:spacing w:line="240" w:lineRule="auto"/>
              <w:jc w:val="both"/>
              <w:rPr>
                <w:rFonts w:hint="eastAsia"/>
                <w:lang w:val="en-US" w:eastAsia="zh-CN"/>
              </w:rPr>
            </w:pPr>
            <w:r>
              <w:rPr>
                <w:rFonts w:hint="eastAsia"/>
                <w:lang w:val="en-US" w:eastAsia="zh-CN"/>
              </w:rPr>
              <w:t>11</w:t>
            </w:r>
            <w:r>
              <w:rPr>
                <w:rFonts w:hint="default"/>
                <w:lang w:val="en-US" w:eastAsia="zh-CN"/>
              </w:rPr>
              <w:t>～1</w:t>
            </w:r>
            <w:r>
              <w:rPr>
                <w:rFonts w:hint="eastAsia"/>
                <w:lang w:val="en-US" w:eastAsia="zh-CN"/>
              </w:rPr>
              <w:t>5</w:t>
            </w:r>
            <w:r>
              <w:rPr>
                <w:rFonts w:hint="default"/>
                <w:lang w:val="en-US" w:eastAsia="zh-CN"/>
              </w:rPr>
              <w:t>分</w:t>
            </w:r>
            <w:r>
              <w:rPr>
                <w:rFonts w:hint="eastAsia"/>
                <w:lang w:val="en-US" w:eastAsia="zh-CN"/>
              </w:rPr>
              <w:t>。客户总体满意度达到80%以上。</w:t>
            </w:r>
          </w:p>
          <w:p w14:paraId="153F211F">
            <w:pPr>
              <w:pStyle w:val="35"/>
              <w:keepLines w:val="0"/>
              <w:kinsoku/>
              <w:wordWrap/>
              <w:overflowPunct/>
              <w:topLinePunct w:val="0"/>
              <w:bidi w:val="0"/>
              <w:spacing w:line="240" w:lineRule="auto"/>
              <w:jc w:val="both"/>
              <w:rPr>
                <w:rFonts w:hint="eastAsia"/>
                <w:lang w:val="en-US" w:eastAsia="zh-CN"/>
              </w:rPr>
            </w:pPr>
            <w:r>
              <w:rPr>
                <w:rFonts w:hint="eastAsia"/>
                <w:lang w:val="en-US" w:eastAsia="zh-CN"/>
              </w:rPr>
              <w:t>0</w:t>
            </w:r>
            <w:r>
              <w:rPr>
                <w:rFonts w:hint="default"/>
                <w:lang w:val="en-US" w:eastAsia="zh-CN"/>
              </w:rPr>
              <w:t>～1</w:t>
            </w:r>
            <w:r>
              <w:rPr>
                <w:rFonts w:hint="eastAsia"/>
                <w:lang w:val="en-US" w:eastAsia="zh-CN"/>
              </w:rPr>
              <w:t>0</w:t>
            </w:r>
            <w:r>
              <w:rPr>
                <w:rFonts w:hint="default"/>
                <w:lang w:val="en-US" w:eastAsia="zh-CN"/>
              </w:rPr>
              <w:t>分</w:t>
            </w:r>
            <w:r>
              <w:rPr>
                <w:rFonts w:hint="eastAsia"/>
                <w:lang w:val="en-US" w:eastAsia="zh-CN"/>
              </w:rPr>
              <w:t>。客户总体满意度低于80%。</w:t>
            </w:r>
          </w:p>
        </w:tc>
      </w:tr>
      <w:tr w14:paraId="5AD5614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1039" w:type="dxa"/>
            <w:vMerge w:val="continue"/>
            <w:vAlign w:val="center"/>
          </w:tcPr>
          <w:p w14:paraId="7D6D214E">
            <w:pPr>
              <w:pStyle w:val="35"/>
              <w:keepLines w:val="0"/>
              <w:kinsoku/>
              <w:wordWrap/>
              <w:overflowPunct/>
              <w:topLinePunct w:val="0"/>
              <w:bidi w:val="0"/>
              <w:spacing w:line="240" w:lineRule="auto"/>
              <w:jc w:val="center"/>
            </w:pPr>
          </w:p>
        </w:tc>
        <w:tc>
          <w:tcPr>
            <w:tcW w:w="1361" w:type="dxa"/>
            <w:vAlign w:val="center"/>
          </w:tcPr>
          <w:p w14:paraId="58A84583">
            <w:pPr>
              <w:pStyle w:val="35"/>
              <w:keepLines w:val="0"/>
              <w:kinsoku/>
              <w:wordWrap/>
              <w:overflowPunct/>
              <w:topLinePunct w:val="0"/>
              <w:bidi w:val="0"/>
              <w:spacing w:line="240" w:lineRule="auto"/>
              <w:ind w:firstLine="0" w:firstLineChars="0"/>
              <w:jc w:val="center"/>
            </w:pPr>
            <w:r>
              <w:rPr>
                <w:rFonts w:hint="eastAsia"/>
                <w:lang w:val="en-US" w:eastAsia="zh-CN"/>
              </w:rPr>
              <w:t>节能效果</w:t>
            </w:r>
          </w:p>
        </w:tc>
        <w:tc>
          <w:tcPr>
            <w:tcW w:w="940" w:type="dxa"/>
            <w:vAlign w:val="center"/>
          </w:tcPr>
          <w:p w14:paraId="40DF21E7">
            <w:pPr>
              <w:pStyle w:val="35"/>
              <w:keepLines w:val="0"/>
              <w:kinsoku/>
              <w:wordWrap/>
              <w:overflowPunct/>
              <w:topLinePunct w:val="0"/>
              <w:bidi w:val="0"/>
              <w:spacing w:line="240" w:lineRule="auto"/>
              <w:ind w:firstLine="0" w:firstLineChars="0"/>
              <w:jc w:val="center"/>
              <w:rPr>
                <w:rFonts w:hint="eastAsia" w:ascii="Segoe UI" w:hAnsi="Segoe UI" w:eastAsia="Segoe UI" w:cs="Segoe UI"/>
                <w:i w:val="0"/>
                <w:iCs w:val="0"/>
                <w:caps w:val="0"/>
                <w:spacing w:val="0"/>
                <w:sz w:val="19"/>
                <w:szCs w:val="19"/>
                <w:shd w:val="clear" w:fill="FFFFFF"/>
                <w:lang w:val="en-US" w:eastAsia="zh-CN"/>
              </w:rPr>
            </w:pPr>
            <w:r>
              <w:rPr>
                <w:rFonts w:hint="eastAsia"/>
                <w:lang w:val="en-US" w:eastAsia="zh-CN"/>
              </w:rPr>
              <w:t>0</w:t>
            </w:r>
            <w:r>
              <w:rPr>
                <w:rFonts w:hint="eastAsia" w:ascii="宋体" w:hAnsi="宋体" w:eastAsia="宋体" w:cs="宋体"/>
                <w:lang w:val="en-US" w:eastAsia="zh-CN"/>
              </w:rPr>
              <w:t>～</w:t>
            </w:r>
            <w:r>
              <w:rPr>
                <w:rFonts w:hint="eastAsia" w:hAnsi="宋体" w:cs="宋体"/>
                <w:lang w:val="en-US" w:eastAsia="zh-CN"/>
              </w:rPr>
              <w:t>20</w:t>
            </w:r>
            <w:r>
              <w:rPr>
                <w:rFonts w:hint="eastAsia" w:ascii="宋体" w:hAnsi="宋体" w:eastAsia="宋体" w:cs="宋体"/>
                <w:lang w:val="en-US" w:eastAsia="zh-CN"/>
              </w:rPr>
              <w:t>分</w:t>
            </w:r>
          </w:p>
        </w:tc>
        <w:tc>
          <w:tcPr>
            <w:tcW w:w="5930" w:type="dxa"/>
            <w:vAlign w:val="center"/>
          </w:tcPr>
          <w:p w14:paraId="61F24B03">
            <w:pPr>
              <w:pStyle w:val="35"/>
              <w:keepLines w:val="0"/>
              <w:kinsoku/>
              <w:wordWrap/>
              <w:overflowPunct/>
              <w:topLinePunct w:val="0"/>
              <w:bidi w:val="0"/>
              <w:spacing w:line="240" w:lineRule="auto"/>
              <w:jc w:val="both"/>
              <w:rPr>
                <w:rFonts w:hint="eastAsia"/>
                <w:lang w:val="en-US" w:eastAsia="zh-CN"/>
              </w:rPr>
            </w:pPr>
            <w:r>
              <w:rPr>
                <w:rFonts w:hint="eastAsia"/>
                <w:lang w:val="en-US" w:eastAsia="zh-CN"/>
              </w:rPr>
              <w:t>11～20分。经业主或第三方节能量审核机构确认，节能服务公司所实施托管项目累计形成的年节能能力超过5000吨标准煤。</w:t>
            </w:r>
          </w:p>
          <w:p w14:paraId="23B1751F">
            <w:pPr>
              <w:pStyle w:val="35"/>
              <w:keepLines w:val="0"/>
              <w:kinsoku/>
              <w:wordWrap/>
              <w:overflowPunct/>
              <w:topLinePunct w:val="0"/>
              <w:bidi w:val="0"/>
              <w:spacing w:line="240" w:lineRule="auto"/>
              <w:jc w:val="both"/>
              <w:rPr>
                <w:rFonts w:hint="default"/>
                <w:lang w:val="en-US" w:eastAsia="zh-CN"/>
              </w:rPr>
            </w:pPr>
            <w:r>
              <w:rPr>
                <w:rFonts w:hint="eastAsia"/>
                <w:lang w:val="en-US" w:eastAsia="zh-CN"/>
              </w:rPr>
              <w:t>0</w:t>
            </w:r>
            <w:r>
              <w:rPr>
                <w:rFonts w:hint="default"/>
                <w:lang w:val="en-US" w:eastAsia="zh-CN"/>
              </w:rPr>
              <w:t>～1</w:t>
            </w:r>
            <w:r>
              <w:rPr>
                <w:rFonts w:hint="eastAsia"/>
                <w:lang w:val="en-US" w:eastAsia="zh-CN"/>
              </w:rPr>
              <w:t>0</w:t>
            </w:r>
            <w:r>
              <w:rPr>
                <w:rFonts w:hint="default"/>
                <w:lang w:val="en-US" w:eastAsia="zh-CN"/>
              </w:rPr>
              <w:t>分</w:t>
            </w:r>
            <w:r>
              <w:rPr>
                <w:rFonts w:hint="eastAsia"/>
                <w:lang w:val="en-US" w:eastAsia="zh-CN"/>
              </w:rPr>
              <w:t>。节能服务公司所实施托管项目累计形成的年节能能力低于5000吨标准煤。</w:t>
            </w:r>
          </w:p>
        </w:tc>
      </w:tr>
      <w:tr w14:paraId="0A72DB3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1039" w:type="dxa"/>
            <w:vMerge w:val="continue"/>
            <w:vAlign w:val="center"/>
          </w:tcPr>
          <w:p w14:paraId="2986B0AF">
            <w:pPr>
              <w:pStyle w:val="35"/>
              <w:keepLines w:val="0"/>
              <w:kinsoku/>
              <w:wordWrap/>
              <w:overflowPunct/>
              <w:topLinePunct w:val="0"/>
              <w:bidi w:val="0"/>
              <w:spacing w:line="240" w:lineRule="auto"/>
              <w:jc w:val="center"/>
            </w:pPr>
          </w:p>
        </w:tc>
        <w:tc>
          <w:tcPr>
            <w:tcW w:w="1361" w:type="dxa"/>
            <w:vAlign w:val="center"/>
          </w:tcPr>
          <w:p w14:paraId="29079F6D">
            <w:pPr>
              <w:pStyle w:val="35"/>
              <w:keepLines w:val="0"/>
              <w:kinsoku/>
              <w:wordWrap/>
              <w:overflowPunct/>
              <w:topLinePunct w:val="0"/>
              <w:bidi w:val="0"/>
              <w:spacing w:line="240" w:lineRule="auto"/>
              <w:ind w:firstLine="0" w:firstLineChars="0"/>
              <w:jc w:val="center"/>
            </w:pPr>
            <w:r>
              <w:rPr>
                <w:rFonts w:hint="default" w:ascii="Times New Roman" w:hAnsi="Times New Roman" w:eastAsia="宋体" w:cs="Times New Roman"/>
                <w:lang w:val="en-US" w:eastAsia="zh-CN"/>
              </w:rPr>
              <w:t>响应时效</w:t>
            </w:r>
          </w:p>
        </w:tc>
        <w:tc>
          <w:tcPr>
            <w:tcW w:w="940" w:type="dxa"/>
            <w:vAlign w:val="center"/>
          </w:tcPr>
          <w:p w14:paraId="22549753">
            <w:pPr>
              <w:pStyle w:val="35"/>
              <w:keepLines w:val="0"/>
              <w:kinsoku/>
              <w:wordWrap/>
              <w:overflowPunct/>
              <w:topLinePunct w:val="0"/>
              <w:bidi w:val="0"/>
              <w:spacing w:line="240" w:lineRule="auto"/>
              <w:ind w:firstLine="0" w:firstLineChars="0"/>
              <w:jc w:val="center"/>
              <w:rPr>
                <w:rFonts w:hint="default" w:ascii="Segoe UI" w:hAnsi="Segoe UI" w:eastAsia="Segoe UI" w:cs="Segoe UI"/>
                <w:i w:val="0"/>
                <w:iCs w:val="0"/>
                <w:caps w:val="0"/>
                <w:spacing w:val="0"/>
                <w:sz w:val="19"/>
                <w:szCs w:val="19"/>
                <w:shd w:val="clear" w:fill="FFFFFF"/>
                <w:lang w:val="en-US" w:eastAsia="zh-CN"/>
              </w:rPr>
            </w:pPr>
            <w:r>
              <w:rPr>
                <w:rFonts w:hint="eastAsia"/>
                <w:lang w:val="en-US" w:eastAsia="zh-CN"/>
              </w:rPr>
              <w:t>0</w:t>
            </w:r>
            <w:r>
              <w:rPr>
                <w:rFonts w:hint="eastAsia" w:ascii="宋体" w:hAnsi="宋体" w:eastAsia="宋体" w:cs="宋体"/>
                <w:lang w:val="en-US" w:eastAsia="zh-CN"/>
              </w:rPr>
              <w:t>～</w:t>
            </w:r>
            <w:r>
              <w:rPr>
                <w:rFonts w:hint="eastAsia" w:hAnsi="宋体" w:cs="宋体"/>
                <w:lang w:val="en-US" w:eastAsia="zh-CN"/>
              </w:rPr>
              <w:t>20</w:t>
            </w:r>
            <w:r>
              <w:rPr>
                <w:rFonts w:hint="eastAsia" w:ascii="宋体" w:hAnsi="宋体" w:eastAsia="宋体" w:cs="宋体"/>
                <w:lang w:val="en-US" w:eastAsia="zh-CN"/>
              </w:rPr>
              <w:t>分</w:t>
            </w:r>
          </w:p>
        </w:tc>
        <w:tc>
          <w:tcPr>
            <w:tcW w:w="5930" w:type="dxa"/>
            <w:vAlign w:val="center"/>
          </w:tcPr>
          <w:p w14:paraId="39F7A5CB">
            <w:pPr>
              <w:pStyle w:val="35"/>
              <w:keepLines w:val="0"/>
              <w:kinsoku/>
              <w:wordWrap/>
              <w:overflowPunct/>
              <w:topLinePunct w:val="0"/>
              <w:bidi w:val="0"/>
              <w:spacing w:line="240" w:lineRule="auto"/>
              <w:jc w:val="both"/>
              <w:rPr>
                <w:rFonts w:hint="default"/>
                <w:lang w:val="en-US" w:eastAsia="zh-CN"/>
              </w:rPr>
            </w:pPr>
            <w:r>
              <w:rPr>
                <w:rFonts w:hint="eastAsia"/>
                <w:lang w:val="en-US" w:eastAsia="zh-CN"/>
              </w:rPr>
              <w:t>11～20分。</w:t>
            </w:r>
            <w:r>
              <w:rPr>
                <w:rFonts w:hint="default"/>
                <w:lang w:val="en-US" w:eastAsia="zh-CN"/>
              </w:rPr>
              <w:t>节能服务公司针对</w:t>
            </w:r>
            <w:r>
              <w:rPr>
                <w:rFonts w:hint="eastAsia"/>
                <w:lang w:val="en-US" w:eastAsia="zh-CN"/>
              </w:rPr>
              <w:t>能源</w:t>
            </w:r>
            <w:r>
              <w:rPr>
                <w:rFonts w:hint="default"/>
                <w:lang w:val="en-US" w:eastAsia="zh-CN"/>
              </w:rPr>
              <w:t>托管项目的设备故障、运维需求，</w:t>
            </w:r>
            <w:r>
              <w:rPr>
                <w:rFonts w:hint="eastAsia"/>
                <w:lang w:val="en-US" w:eastAsia="zh-CN"/>
              </w:rPr>
              <w:t>能够</w:t>
            </w:r>
            <w:r>
              <w:rPr>
                <w:rFonts w:hint="default"/>
                <w:lang w:val="en-US" w:eastAsia="zh-CN"/>
              </w:rPr>
              <w:t>在约定时限内响应并处置，保障用能系统稳定运行。</w:t>
            </w:r>
          </w:p>
          <w:p w14:paraId="24E290AC">
            <w:pPr>
              <w:pStyle w:val="35"/>
              <w:keepLines w:val="0"/>
              <w:kinsoku/>
              <w:wordWrap/>
              <w:overflowPunct/>
              <w:topLinePunct w:val="0"/>
              <w:bidi w:val="0"/>
              <w:spacing w:line="240" w:lineRule="auto"/>
              <w:jc w:val="both"/>
              <w:rPr>
                <w:rFonts w:hint="default"/>
                <w:lang w:val="en-US" w:eastAsia="zh-CN"/>
              </w:rPr>
            </w:pPr>
            <w:r>
              <w:rPr>
                <w:rFonts w:hint="eastAsia"/>
                <w:lang w:val="en-US" w:eastAsia="zh-CN"/>
              </w:rPr>
              <w:t>0</w:t>
            </w:r>
            <w:r>
              <w:rPr>
                <w:rFonts w:hint="default"/>
                <w:lang w:val="en-US" w:eastAsia="zh-CN"/>
              </w:rPr>
              <w:t>～1</w:t>
            </w:r>
            <w:r>
              <w:rPr>
                <w:rFonts w:hint="eastAsia"/>
                <w:lang w:val="en-US" w:eastAsia="zh-CN"/>
              </w:rPr>
              <w:t>0</w:t>
            </w:r>
            <w:r>
              <w:rPr>
                <w:rFonts w:hint="default"/>
                <w:lang w:val="en-US" w:eastAsia="zh-CN"/>
              </w:rPr>
              <w:t>分</w:t>
            </w:r>
            <w:r>
              <w:rPr>
                <w:rFonts w:hint="eastAsia"/>
                <w:lang w:val="en-US" w:eastAsia="zh-CN"/>
              </w:rPr>
              <w:t>。节能服务公司运维响应不够及时，不能充分保障用能系统的连续、稳定运行。</w:t>
            </w:r>
          </w:p>
        </w:tc>
      </w:tr>
      <w:tr w14:paraId="01B5BF8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1039" w:type="dxa"/>
            <w:vMerge w:val="continue"/>
            <w:vAlign w:val="center"/>
          </w:tcPr>
          <w:p w14:paraId="537C953C">
            <w:pPr>
              <w:pStyle w:val="35"/>
              <w:keepLines w:val="0"/>
              <w:kinsoku/>
              <w:wordWrap/>
              <w:overflowPunct/>
              <w:topLinePunct w:val="0"/>
              <w:bidi w:val="0"/>
              <w:spacing w:line="240" w:lineRule="auto"/>
              <w:jc w:val="center"/>
            </w:pPr>
          </w:p>
        </w:tc>
        <w:tc>
          <w:tcPr>
            <w:tcW w:w="1361" w:type="dxa"/>
            <w:vAlign w:val="center"/>
          </w:tcPr>
          <w:p w14:paraId="02522AA0">
            <w:pPr>
              <w:pStyle w:val="35"/>
              <w:keepLines w:val="0"/>
              <w:kinsoku/>
              <w:wordWrap/>
              <w:overflowPunct/>
              <w:topLinePunct w:val="0"/>
              <w:bidi w:val="0"/>
              <w:spacing w:line="240" w:lineRule="auto"/>
              <w:jc w:val="center"/>
              <w:rPr>
                <w:rFonts w:hint="eastAsia" w:eastAsia="宋体"/>
                <w:lang w:val="en-US" w:eastAsia="zh-CN"/>
              </w:rPr>
            </w:pPr>
            <w:r>
              <w:rPr>
                <w:rFonts w:hint="eastAsia"/>
                <w:lang w:val="en-US" w:eastAsia="zh-CN"/>
              </w:rPr>
              <w:t>信誉度</w:t>
            </w:r>
          </w:p>
        </w:tc>
        <w:tc>
          <w:tcPr>
            <w:tcW w:w="940" w:type="dxa"/>
            <w:vAlign w:val="center"/>
          </w:tcPr>
          <w:p w14:paraId="062B284E">
            <w:pPr>
              <w:pStyle w:val="35"/>
              <w:keepLines w:val="0"/>
              <w:kinsoku/>
              <w:wordWrap/>
              <w:overflowPunct/>
              <w:topLinePunct w:val="0"/>
              <w:bidi w:val="0"/>
              <w:spacing w:line="240" w:lineRule="auto"/>
              <w:jc w:val="center"/>
              <w:rPr>
                <w:rFonts w:hint="eastAsia"/>
                <w:lang w:val="en-US" w:eastAsia="zh-CN"/>
              </w:rPr>
            </w:pPr>
            <w:r>
              <w:rPr>
                <w:rFonts w:hint="eastAsia"/>
                <w:lang w:val="en-US" w:eastAsia="zh-CN"/>
              </w:rPr>
              <w:t>0</w:t>
            </w:r>
            <w:r>
              <w:rPr>
                <w:rFonts w:hint="eastAsia" w:ascii="宋体" w:hAnsi="宋体" w:eastAsia="宋体" w:cs="宋体"/>
                <w:lang w:val="en-US" w:eastAsia="zh-CN"/>
              </w:rPr>
              <w:t>～</w:t>
            </w:r>
            <w:r>
              <w:rPr>
                <w:rFonts w:hint="eastAsia" w:hAnsi="宋体" w:cs="宋体"/>
                <w:lang w:val="en-US" w:eastAsia="zh-CN"/>
              </w:rPr>
              <w:t>20</w:t>
            </w:r>
            <w:r>
              <w:rPr>
                <w:rFonts w:hint="eastAsia" w:ascii="宋体" w:hAnsi="宋体" w:eastAsia="宋体" w:cs="宋体"/>
                <w:lang w:val="en-US" w:eastAsia="zh-CN"/>
              </w:rPr>
              <w:t>分</w:t>
            </w:r>
          </w:p>
        </w:tc>
        <w:tc>
          <w:tcPr>
            <w:tcW w:w="5930" w:type="dxa"/>
            <w:vAlign w:val="center"/>
          </w:tcPr>
          <w:p w14:paraId="028CDB8C">
            <w:pPr>
              <w:pStyle w:val="35"/>
              <w:keepLines w:val="0"/>
              <w:kinsoku/>
              <w:wordWrap/>
              <w:overflowPunct/>
              <w:topLinePunct w:val="0"/>
              <w:bidi w:val="0"/>
              <w:spacing w:line="240" w:lineRule="auto"/>
              <w:jc w:val="both"/>
              <w:rPr>
                <w:rFonts w:hint="default"/>
                <w:lang w:val="en-US" w:eastAsia="zh-CN"/>
              </w:rPr>
            </w:pPr>
            <w:r>
              <w:rPr>
                <w:rFonts w:hint="eastAsia"/>
                <w:lang w:val="en-US" w:eastAsia="zh-CN"/>
              </w:rPr>
              <w:t>11～20分。节能服务公司合法、诚信经营，具备较好的企业信用。</w:t>
            </w:r>
            <w:r>
              <w:rPr>
                <w:rFonts w:hint="default"/>
                <w:lang w:val="en-US" w:eastAsia="zh-CN"/>
              </w:rPr>
              <w:t>近三年内无行政处罚、失信被执行人、重大合同纠纷败诉等不良记录，</w:t>
            </w:r>
            <w:r>
              <w:rPr>
                <w:rFonts w:hint="eastAsia"/>
                <w:lang w:val="en-US" w:eastAsia="zh-CN"/>
              </w:rPr>
              <w:t>获得过国家、省部级或行业协会颁布的奖励。</w:t>
            </w:r>
          </w:p>
          <w:p w14:paraId="4EA9D778">
            <w:pPr>
              <w:pStyle w:val="35"/>
              <w:keepLines w:val="0"/>
              <w:kinsoku/>
              <w:wordWrap/>
              <w:overflowPunct/>
              <w:topLinePunct w:val="0"/>
              <w:bidi w:val="0"/>
              <w:spacing w:line="240" w:lineRule="auto"/>
              <w:jc w:val="both"/>
              <w:rPr>
                <w:rFonts w:hint="default"/>
                <w:lang w:val="en-US" w:eastAsia="zh-CN"/>
              </w:rPr>
            </w:pPr>
            <w:r>
              <w:rPr>
                <w:rFonts w:hint="eastAsia"/>
                <w:lang w:val="en-US" w:eastAsia="zh-CN"/>
              </w:rPr>
              <w:t>0</w:t>
            </w:r>
            <w:r>
              <w:rPr>
                <w:rFonts w:hint="default"/>
                <w:lang w:val="en-US" w:eastAsia="zh-CN"/>
              </w:rPr>
              <w:t>～1</w:t>
            </w:r>
            <w:r>
              <w:rPr>
                <w:rFonts w:hint="eastAsia"/>
                <w:lang w:val="en-US" w:eastAsia="zh-CN"/>
              </w:rPr>
              <w:t>0</w:t>
            </w:r>
            <w:r>
              <w:rPr>
                <w:rFonts w:hint="default"/>
                <w:lang w:val="en-US" w:eastAsia="zh-CN"/>
              </w:rPr>
              <w:t>分</w:t>
            </w:r>
            <w:r>
              <w:rPr>
                <w:rFonts w:hint="eastAsia"/>
                <w:lang w:val="en-US" w:eastAsia="zh-CN"/>
              </w:rPr>
              <w:t>。节能服务公司近三年内存在行政处罚、失信被执行人、重大合同纠纷败诉等不良经营记录。</w:t>
            </w:r>
          </w:p>
        </w:tc>
      </w:tr>
    </w:tbl>
    <w:p w14:paraId="05FE3EBC">
      <w:pPr>
        <w:pStyle w:val="15"/>
        <w:keepLines w:val="0"/>
        <w:kinsoku/>
        <w:wordWrap/>
        <w:overflowPunct/>
        <w:topLinePunct w:val="0"/>
        <w:bidi w:val="0"/>
        <w:spacing w:line="240" w:lineRule="auto"/>
        <w:ind w:left="0" w:leftChars="0" w:firstLine="0" w:firstLineChars="0"/>
        <w:rPr>
          <w:rFonts w:hint="eastAsia"/>
          <w:lang w:val="en-US" w:eastAsia="zh-CN"/>
        </w:rPr>
      </w:pPr>
    </w:p>
    <w:p w14:paraId="666297C7">
      <w:pPr>
        <w:keepLines w:val="0"/>
        <w:kinsoku/>
        <w:wordWrap/>
        <w:overflowPunct/>
        <w:topLinePunct w:val="0"/>
        <w:bidi w:val="0"/>
        <w:spacing w:line="240" w:lineRule="auto"/>
      </w:pPr>
    </w:p>
    <w:bookmarkEnd w:id="55"/>
    <w:bookmarkEnd w:id="56"/>
    <w:p w14:paraId="39EC982C">
      <w:pPr>
        <w:pStyle w:val="16"/>
        <w:keepLines w:val="0"/>
        <w:numPr>
          <w:ilvl w:val="0"/>
          <w:numId w:val="0"/>
        </w:numPr>
        <w:kinsoku/>
        <w:wordWrap/>
        <w:overflowPunct/>
        <w:topLinePunct w:val="0"/>
        <w:autoSpaceDE w:val="0"/>
        <w:autoSpaceDN w:val="0"/>
        <w:bidi w:val="0"/>
        <w:spacing w:line="240" w:lineRule="auto"/>
        <w:jc w:val="both"/>
        <w:rPr>
          <w:rFonts w:hint="eastAsia" w:ascii="Times New Roman"/>
          <w:szCs w:val="21"/>
        </w:rPr>
      </w:pPr>
    </w:p>
    <w:p w14:paraId="6F721E9F">
      <w:pPr>
        <w:pStyle w:val="16"/>
        <w:keepLines w:val="0"/>
        <w:numPr>
          <w:ilvl w:val="0"/>
          <w:numId w:val="0"/>
        </w:numPr>
        <w:kinsoku/>
        <w:wordWrap/>
        <w:overflowPunct/>
        <w:topLinePunct w:val="0"/>
        <w:autoSpaceDE w:val="0"/>
        <w:autoSpaceDN w:val="0"/>
        <w:bidi w:val="0"/>
        <w:spacing w:line="240" w:lineRule="auto"/>
        <w:jc w:val="both"/>
        <w:rPr>
          <w:rFonts w:hint="eastAsia" w:ascii="Times New Roman"/>
          <w:szCs w:val="21"/>
        </w:rPr>
      </w:pPr>
    </w:p>
    <w:p w14:paraId="5F238514">
      <w:pPr>
        <w:keepLines w:val="0"/>
        <w:widowControl/>
        <w:tabs>
          <w:tab w:val="center" w:pos="4201"/>
          <w:tab w:val="right" w:leader="dot" w:pos="9298"/>
        </w:tabs>
        <w:kinsoku/>
        <w:wordWrap/>
        <w:overflowPunct/>
        <w:topLinePunct w:val="0"/>
        <w:autoSpaceDE w:val="0"/>
        <w:autoSpaceDN w:val="0"/>
        <w:bidi w:val="0"/>
        <w:spacing w:line="240" w:lineRule="auto"/>
        <w:jc w:val="center"/>
        <w:rPr>
          <w:rFonts w:ascii="Times New Roman" w:hAnsi="Times New Roman" w:eastAsia="宋体" w:cs="Times New Roman"/>
          <w:kern w:val="0"/>
          <w:szCs w:val="20"/>
        </w:rPr>
      </w:pPr>
      <w:r>
        <w:rPr>
          <w:rFonts w:hint="eastAsia" w:ascii="宋体" w:hAnsi="宋体" w:eastAsia="宋体" w:cs="宋体"/>
          <w:spacing w:val="-2"/>
        </w:rPr>
        <w:t>_____________________________________</w:t>
      </w:r>
    </w:p>
    <w:p w14:paraId="0BAA5652">
      <w:pPr>
        <w:keepLines w:val="0"/>
        <w:widowControl/>
        <w:tabs>
          <w:tab w:val="center" w:pos="4201"/>
          <w:tab w:val="right" w:leader="dot" w:pos="9298"/>
        </w:tabs>
        <w:kinsoku/>
        <w:wordWrap/>
        <w:overflowPunct/>
        <w:topLinePunct w:val="0"/>
        <w:autoSpaceDE w:val="0"/>
        <w:autoSpaceDN w:val="0"/>
        <w:bidi w:val="0"/>
        <w:spacing w:line="240" w:lineRule="auto"/>
        <w:jc w:val="center"/>
        <w:rPr>
          <w:rFonts w:ascii="Times New Roman" w:hAnsi="Times New Roman" w:eastAsia="宋体" w:cs="Times New Roman"/>
          <w:kern w:val="0"/>
          <w:szCs w:val="20"/>
        </w:rPr>
      </w:pPr>
    </w:p>
    <w:p w14:paraId="57C99D3B">
      <w:pPr>
        <w:keepLines w:val="0"/>
        <w:kinsoku/>
        <w:wordWrap/>
        <w:overflowPunct/>
        <w:topLinePunct w:val="0"/>
        <w:bidi w:val="0"/>
        <w:adjustRightInd w:val="0"/>
        <w:snapToGrid w:val="0"/>
        <w:spacing w:line="240" w:lineRule="auto"/>
        <w:jc w:val="center"/>
      </w:pPr>
    </w:p>
    <w:sectPr>
      <w:headerReference r:id="rId11" w:type="default"/>
      <w:footerReference r:id="rId12" w:type="default"/>
      <w:pgSz w:w="11906" w:h="16838"/>
      <w:pgMar w:top="1417" w:right="1417" w:bottom="1134" w:left="1417" w:header="1418" w:footer="1134" w:gutter="0"/>
      <w:pgBorders>
        <w:top w:val="none" w:sz="0" w:space="0"/>
        <w:left w:val="none" w:sz="0" w:space="0"/>
        <w:bottom w:val="none" w:sz="0" w:space="0"/>
        <w:right w:val="none" w:sz="0" w:space="0"/>
      </w:pgBorders>
      <w:pgNumType w:fmt="decimal"/>
      <w:cols w:space="0" w:num="1"/>
      <w:rtlGutter w:val="0"/>
      <w:docGrid w:type="linesAndChar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6E24E100-C1B1-411E-9D42-3D7636D15D5D}"/>
  </w:font>
  <w:font w:name="黑体">
    <w:panose1 w:val="02010609060101010101"/>
    <w:charset w:val="86"/>
    <w:family w:val="auto"/>
    <w:pitch w:val="default"/>
    <w:sig w:usb0="800002BF" w:usb1="38CF7CFA" w:usb2="00000016" w:usb3="00000000" w:csb0="00040001" w:csb1="00000000"/>
    <w:embedRegular r:id="rId2" w:fontKey="{A25B5F5F-C376-43C9-A241-14D44A1FD768}"/>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swiss"/>
    <w:pitch w:val="default"/>
    <w:sig w:usb0="80000287" w:usb1="2ACF3C50" w:usb2="00000016" w:usb3="00000000" w:csb0="0004001F" w:csb1="00000000"/>
    <w:embedRegular r:id="rId3" w:fontKey="{4BBDE36E-649A-423B-B6AD-3987F6F9F615}"/>
  </w:font>
  <w:font w:name="方正小标宋简体">
    <w:panose1 w:val="03000509000000000000"/>
    <w:charset w:val="86"/>
    <w:family w:val="auto"/>
    <w:pitch w:val="default"/>
    <w:sig w:usb0="00000001" w:usb1="080E0000" w:usb2="00000000" w:usb3="00000000" w:csb0="00040000" w:csb1="00000000"/>
    <w:embedRegular r:id="rId4" w:fontKey="{ED04FA56-1090-47EC-9B10-FCAD6B3E0882}"/>
  </w:font>
  <w:font w:name="FangSong_GB2312">
    <w:altName w:val="仿宋_GB2312"/>
    <w:panose1 w:val="02010609030101010101"/>
    <w:charset w:val="86"/>
    <w:family w:val="modern"/>
    <w:pitch w:val="default"/>
    <w:sig w:usb0="00000000" w:usb1="00000000" w:usb2="00000016" w:usb3="00000000" w:csb0="00040001" w:csb1="00000000"/>
    <w:embedRegular r:id="rId5" w:fontKey="{13B1CE6C-962F-419C-B81C-5647C6B2E102}"/>
  </w:font>
  <w:font w:name="仿宋_GB2312">
    <w:panose1 w:val="02010609030101010101"/>
    <w:charset w:val="86"/>
    <w:family w:val="auto"/>
    <w:pitch w:val="default"/>
    <w:sig w:usb0="00000001" w:usb1="080E0000" w:usb2="00000000" w:usb3="00000000" w:csb0="00040000" w:csb1="00000000"/>
  </w:font>
  <w:font w:name="Segoe UI">
    <w:panose1 w:val="020B0502040204020203"/>
    <w:charset w:val="00"/>
    <w:family w:val="auto"/>
    <w:pitch w:val="default"/>
    <w:sig w:usb0="E4002EFF" w:usb1="C000E47F" w:usb2="00000009" w:usb3="00000000" w:csb0="200001FF" w:csb1="00000000"/>
    <w:embedRegular r:id="rId6" w:fontKey="{285E0E86-85D9-48EA-9EDB-DF5BD4C6BB5F}"/>
  </w:font>
  <w:font w:name="Segoe UI Emoji">
    <w:panose1 w:val="020B0502040204020203"/>
    <w:charset w:val="00"/>
    <w:family w:val="auto"/>
    <w:pitch w:val="default"/>
    <w:sig w:usb0="00000001" w:usb1="02000000" w:usb2="08000000" w:usb3="00000000" w:csb0="00000001" w:csb1="00000000"/>
    <w:embedRegular r:id="rId7" w:fontKey="{6902459D-FCC3-494C-A6AD-74FFD3A876DC}"/>
  </w:font>
  <w:font w:name="Cambria Math">
    <w:panose1 w:val="02040503050406030204"/>
    <w:charset w:val="00"/>
    <w:family w:val="auto"/>
    <w:pitch w:val="default"/>
    <w:sig w:usb0="E00006FF" w:usb1="420024FF" w:usb2="02000000" w:usb3="00000000" w:csb0="2000019F" w:csb1="00000000"/>
    <w:embedRegular r:id="rId8" w:fontKey="{A0873FA2-58E9-4B6E-805A-5BDF4D5ABE31}"/>
  </w:font>
  <w:font w:name="Tahoma">
    <w:panose1 w:val="020B0604030504040204"/>
    <w:charset w:val="00"/>
    <w:family w:val="auto"/>
    <w:pitch w:val="default"/>
    <w:sig w:usb0="E1002EFF" w:usb1="C000605B" w:usb2="00000029" w:usb3="00000000" w:csb0="200101FF" w:csb1="20280000"/>
  </w:font>
  <w:font w:name="方正楷体_GBK">
    <w:panose1 w:val="03000509000000000000"/>
    <w:charset w:val="86"/>
    <w:family w:val="auto"/>
    <w:pitch w:val="default"/>
    <w:sig w:usb0="00000001" w:usb1="080E0000" w:usb2="00000000" w:usb3="00000000" w:csb0="00040000" w:csb1="00000000"/>
    <w:embedRegular r:id="rId9" w:fontKey="{D96C976D-2783-4B2F-BCB4-654F66AC8011}"/>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86FF46">
    <w:pPr>
      <w:pStyle w:val="4"/>
      <w:adjustRightInd w:val="0"/>
      <w:jc w:val="center"/>
    </w:pPr>
    <w:r>
      <w:rPr>
        <w:sz w:val="18"/>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DFE7764">
                          <w:pPr>
                            <w:pStyle w:val="4"/>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OrREyAgAAY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f46tETICAABhBAAADgAAAAAAAAABACAAAAAfAQAAZHJzL2Uyb0RvYy54bWxQSwUG&#10;AAAAAAYABgBZAQAAwwUAAAAA&#10;">
              <v:fill on="f" focussize="0,0"/>
              <v:stroke on="f" weight="0.5pt"/>
              <v:imagedata o:title=""/>
              <o:lock v:ext="edit" aspectratio="f"/>
              <v:textbox inset="0mm,0mm,0mm,0mm" style="mso-fit-shape-to-text:t;">
                <w:txbxContent>
                  <w:p w14:paraId="7DFE7764">
                    <w:pPr>
                      <w:pStyle w:val="4"/>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14C463">
    <w:pPr>
      <w:pStyle w:val="4"/>
      <w:adjustRightInd w:val="0"/>
      <w:jc w:val="center"/>
    </w:pPr>
    <w:r>
      <w:rPr>
        <w:sz w:val="18"/>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13D2E5D">
                          <w:pPr>
                            <w:pStyle w:val="4"/>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qMOCsyAgAAYQQAAA4AAABkcnMvZTJvRG9jLnhtbK1UzY7TMBC+I/EO&#10;lu80aVl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5RoplCwU/fv51+&#10;/Dr9/Equojyt9TNEPVjEhe6t6dA0w7nHYWTdVU7FL/gQ+CHu8SKu6ALh8dJ0Mp3mcHH4hg3ws8fr&#10;1vnwThhFolFQh+olUdlh40MfOoTEbNqsGylTBaUmbUGvX7/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uow4KzICAABhBAAADgAAAAAAAAABACAAAAAfAQAAZHJzL2Uyb0RvYy54bWxQSwUG&#10;AAAAAAYABgBZAQAAwwUAAAAA&#10;">
              <v:fill on="f" focussize="0,0"/>
              <v:stroke on="f" weight="0.5pt"/>
              <v:imagedata o:title=""/>
              <o:lock v:ext="edit" aspectratio="f"/>
              <v:textbox inset="0mm,0mm,0mm,0mm" style="mso-fit-shape-to-text:t;">
                <w:txbxContent>
                  <w:p w14:paraId="213D2E5D">
                    <w:pPr>
                      <w:pStyle w:val="4"/>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74238D">
    <w:pPr>
      <w:pStyle w:val="4"/>
    </w:pPr>
    <w:r>
      <w:rPr>
        <w:sz w:val="18"/>
      </w:rP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7" name="文本框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39C382F">
                          <w:pPr>
                            <w:pStyle w:val="4"/>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WLh2QyAgAAYQQAAA4AAABkcnMvZTJvRG9jLnhtbK1UzY7TMBC+I/EO&#10;lu80aRG7Vd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9YuHZDICAABhBAAADgAAAAAAAAABACAAAAAfAQAAZHJzL2Uyb0RvYy54bWxQSwUG&#10;AAAAAAYABgBZAQAAwwUAAAAA&#10;">
              <v:fill on="f" focussize="0,0"/>
              <v:stroke on="f" weight="0.5pt"/>
              <v:imagedata o:title=""/>
              <o:lock v:ext="edit" aspectratio="f"/>
              <v:textbox inset="0mm,0mm,0mm,0mm" style="mso-fit-shape-to-text:t;">
                <w:txbxContent>
                  <w:p w14:paraId="139C382F">
                    <w:pPr>
                      <w:pStyle w:val="4"/>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8690AC">
    <w:pPr>
      <w:pStyle w:val="4"/>
      <w:jc w:val="center"/>
    </w:pPr>
    <w: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8" name="文本框 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39B50F9">
                          <w:pPr>
                            <w:pStyle w:val="4"/>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PAGE  \* MERGEFORMAT </w:instrText>
                          </w:r>
                          <w:r>
                            <w:rPr>
                              <w:rFonts w:ascii="Times New Roman" w:hAnsi="Times New Roman" w:cs="Times New Roman"/>
                            </w:rPr>
                            <w:fldChar w:fldCharType="separate"/>
                          </w:r>
                          <w:r>
                            <w:rPr>
                              <w:rFonts w:ascii="Times New Roman" w:hAnsi="Times New Roman" w:cs="Times New Roman"/>
                            </w:rPr>
                            <w:t>IV</w:t>
                          </w:r>
                          <w:r>
                            <w:rPr>
                              <w:rFonts w:ascii="Times New Roman" w:hAnsi="Times New Roman" w:cs="Times New Roman"/>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LQ8m0rAgAAVQ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By0PJtKwIAAFUEAAAOAAAAAAAAAAEAIAAAAB8BAABkcnMvZTJvRG9jLnhtbFBLBQYAAAAABgAG&#10;AFkBAAC8BQAAAAA=&#10;">
              <v:fill on="f" focussize="0,0"/>
              <v:stroke on="f" weight="0.5pt"/>
              <v:imagedata o:title=""/>
              <o:lock v:ext="edit" aspectratio="f"/>
              <v:textbox inset="0mm,0mm,0mm,0mm" style="mso-fit-shape-to-text:t;">
                <w:txbxContent>
                  <w:p w14:paraId="439B50F9">
                    <w:pPr>
                      <w:pStyle w:val="4"/>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PAGE  \* MERGEFORMAT </w:instrText>
                    </w:r>
                    <w:r>
                      <w:rPr>
                        <w:rFonts w:ascii="Times New Roman" w:hAnsi="Times New Roman" w:cs="Times New Roman"/>
                      </w:rPr>
                      <w:fldChar w:fldCharType="separate"/>
                    </w:r>
                    <w:r>
                      <w:rPr>
                        <w:rFonts w:ascii="Times New Roman" w:hAnsi="Times New Roman" w:cs="Times New Roman"/>
                      </w:rPr>
                      <w:t>IV</w:t>
                    </w:r>
                    <w:r>
                      <w:rPr>
                        <w:rFonts w:ascii="Times New Roman" w:hAnsi="Times New Roman" w:cs="Times New Roman"/>
                      </w:rP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3776F0">
    <w:pPr>
      <w:keepNext w:val="0"/>
      <w:keepLines w:val="0"/>
      <w:pageBreakBefore w:val="0"/>
      <w:widowControl w:val="0"/>
      <w:kinsoku/>
      <w:wordWrap/>
      <w:overflowPunct/>
      <w:topLinePunct w:val="0"/>
      <w:bidi w:val="0"/>
      <w:adjustRightInd/>
      <w:snapToGrid/>
      <w:spacing w:after="170" w:line="238" w:lineRule="auto"/>
      <w:ind w:left="6270"/>
      <w:jc w:val="right"/>
      <w:textAlignment w:val="auto"/>
      <w:rPr>
        <w:rFonts w:hint="default"/>
        <w:sz w:val="21"/>
        <w:szCs w:val="21"/>
        <w:lang w:val="en-US"/>
      </w:rPr>
    </w:pPr>
    <w:r>
      <w:rPr>
        <w:sz w:val="18"/>
      </w:rPr>
      <w:drawing>
        <wp:anchor distT="0" distB="0" distL="114300" distR="114300" simplePos="0" relativeHeight="251666432" behindDoc="1" locked="0" layoutInCell="1" allowOverlap="1">
          <wp:simplePos x="0" y="0"/>
          <wp:positionH relativeFrom="margin">
            <wp:align>center</wp:align>
          </wp:positionH>
          <wp:positionV relativeFrom="margin">
            <wp:align>center</wp:align>
          </wp:positionV>
          <wp:extent cx="5274310" cy="5247640"/>
          <wp:effectExtent l="0" t="0" r="13970" b="10160"/>
          <wp:wrapNone/>
          <wp:docPr id="6" name="WordPictureWatermark34001"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WordPictureWatermark34001" descr="LOGO"/>
                  <pic:cNvPicPr>
                    <a:picLocks noChangeAspect="1"/>
                  </pic:cNvPicPr>
                </pic:nvPicPr>
                <pic:blipFill>
                  <a:blip r:embed="rId1"/>
                  <a:stretch>
                    <a:fillRect/>
                  </a:stretch>
                </pic:blipFill>
                <pic:spPr>
                  <a:xfrm>
                    <a:off x="0" y="0"/>
                    <a:ext cx="5274310" cy="5247640"/>
                  </a:xfrm>
                  <a:prstGeom prst="rect">
                    <a:avLst/>
                  </a:prstGeom>
                  <a:noFill/>
                  <a:ln>
                    <a:noFill/>
                  </a:ln>
                </pic:spPr>
              </pic:pic>
            </a:graphicData>
          </a:graphic>
        </wp:anchor>
      </w:drawing>
    </w:r>
    <w:r>
      <w:rPr>
        <w:rFonts w:hint="eastAsia" w:ascii="黑体" w:hAnsi="黑体" w:eastAsia="黑体" w:cs="黑体"/>
        <w:sz w:val="21"/>
        <w:szCs w:val="21"/>
      </w:rPr>
      <w:t>T</w:t>
    </w:r>
    <w:r>
      <w:rPr>
        <w:rFonts w:hint="eastAsia" w:ascii="黑体" w:hAnsi="黑体" w:eastAsia="黑体" w:cs="黑体"/>
        <w:color w:val="000000"/>
        <w:kern w:val="0"/>
        <w:sz w:val="21"/>
        <w:szCs w:val="21"/>
      </w:rPr>
      <w:t>/</w:t>
    </w:r>
    <w:r>
      <w:rPr>
        <w:rFonts w:hint="eastAsia" w:ascii="黑体" w:hAnsi="黑体" w:eastAsia="黑体" w:cs="黑体"/>
        <w:sz w:val="21"/>
        <w:szCs w:val="21"/>
      </w:rPr>
      <w:t>CECA-</w:t>
    </w:r>
    <w:r>
      <w:rPr>
        <w:rFonts w:hint="eastAsia" w:ascii="黑体" w:hAnsi="黑体" w:eastAsia="黑体" w:cs="黑体"/>
        <w:sz w:val="21"/>
        <w:szCs w:val="21"/>
        <w:lang w:eastAsia="zh-CN"/>
      </w:rPr>
      <w:t xml:space="preserve">G </w:t>
    </w:r>
    <w:r>
      <w:rPr>
        <w:rFonts w:hint="eastAsia" w:ascii="黑体" w:hAnsi="黑体" w:eastAsia="黑体" w:cs="黑体"/>
        <w:sz w:val="21"/>
        <w:szCs w:val="21"/>
        <w:lang w:val="en-US" w:eastAsia="zh-CN"/>
      </w:rPr>
      <w:t>X</w:t>
    </w:r>
    <w:r>
      <w:rPr>
        <w:rFonts w:hint="eastAsia" w:ascii="黑体" w:hAnsi="黑体" w:eastAsia="黑体" w:cs="黑体"/>
        <w:sz w:val="21"/>
        <w:szCs w:val="21"/>
        <w:lang w:eastAsia="zh-CN"/>
      </w:rPr>
      <w:t>XXX</w:t>
    </w:r>
    <w:r>
      <w:rPr>
        <w:rFonts w:hint="eastAsia" w:ascii="黑体" w:hAnsi="黑体" w:eastAsia="黑体" w:cs="黑体"/>
        <w:sz w:val="21"/>
        <w:szCs w:val="21"/>
      </w:rPr>
      <w:t>—20</w:t>
    </w:r>
    <w:r>
      <w:rPr>
        <w:rFonts w:hint="eastAsia" w:ascii="黑体" w:hAnsi="黑体" w:eastAsia="黑体" w:cs="黑体"/>
        <w:sz w:val="21"/>
        <w:szCs w:val="21"/>
        <w:lang w:val="en-US" w:eastAsia="zh-CN"/>
      </w:rPr>
      <w:t>26</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60C0CD">
    <w:pPr>
      <w:pStyle w:val="12"/>
      <w:tabs>
        <w:tab w:val="left" w:pos="9355"/>
      </w:tabs>
      <w:ind w:right="-1"/>
      <w:jc w:val="center"/>
      <w:rPr>
        <w:b/>
      </w:rPr>
    </w:pPr>
    <w:r>
      <w:t xml:space="preserve">                                                                XXXXX—2015</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D51D3D">
    <w:pPr>
      <w:rPr>
        <w:rFonts w:hint="default" w:ascii="黑体" w:hAnsi="黑体" w:eastAsia="黑体" w:cs="黑体"/>
        <w:color w:val="000000" w:themeColor="text1"/>
        <w:sz w:val="21"/>
        <w:szCs w:val="21"/>
        <w:lang w:val="en-US" w:eastAsia="zh-CN"/>
        <w14:textFill>
          <w14:solidFill>
            <w14:schemeClr w14:val="tx1"/>
          </w14:solidFill>
        </w14:textFill>
      </w:rPr>
    </w:pPr>
    <w:r>
      <w:rPr>
        <w:rFonts w:hint="eastAsia" w:ascii="黑体" w:hAnsi="黑体" w:eastAsia="黑体" w:cs="黑体"/>
        <w:color w:val="000000" w:themeColor="text1"/>
        <w:sz w:val="21"/>
        <w:szCs w:val="21"/>
        <w14:textFill>
          <w14:solidFill>
            <w14:schemeClr w14:val="tx1"/>
          </w14:solidFill>
        </w14:textFill>
      </w:rPr>
      <w:t xml:space="preserve">ICS </w:t>
    </w:r>
    <w:r>
      <w:rPr>
        <w:rFonts w:hint="eastAsia" w:ascii="黑体" w:hAnsi="黑体" w:eastAsia="黑体" w:cs="黑体"/>
        <w:color w:val="000000" w:themeColor="text1"/>
        <w:sz w:val="21"/>
        <w:szCs w:val="21"/>
        <w:lang w:val="en-US" w:eastAsia="zh-CN"/>
        <w14:textFill>
          <w14:solidFill>
            <w14:schemeClr w14:val="tx1"/>
          </w14:solidFill>
        </w14:textFill>
      </w:rPr>
      <w:t>27.010</w:t>
    </w:r>
  </w:p>
  <w:p w14:paraId="14866BFE">
    <w:pPr>
      <w:pStyle w:val="5"/>
      <w:pBdr>
        <w:bottom w:val="none" w:color="auto" w:sz="0" w:space="0"/>
      </w:pBdr>
      <w:tabs>
        <w:tab w:val="left" w:pos="6051"/>
        <w:tab w:val="clear" w:pos="4153"/>
      </w:tabs>
      <w:ind w:left="5880" w:hanging="5040" w:hangingChars="2800"/>
      <w:jc w:val="left"/>
      <w:rPr>
        <w:rFonts w:hint="default"/>
        <w:lang w:val="en-US"/>
      </w:rPr>
    </w:pPr>
    <w:r>
      <w:rPr>
        <w:sz w:val="18"/>
      </w:rPr>
      <w:drawing>
        <wp:anchor distT="0" distB="0" distL="114300" distR="114300" simplePos="0" relativeHeight="251667456" behindDoc="1" locked="0" layoutInCell="1" allowOverlap="1">
          <wp:simplePos x="0" y="0"/>
          <wp:positionH relativeFrom="margin">
            <wp:align>center</wp:align>
          </wp:positionH>
          <wp:positionV relativeFrom="margin">
            <wp:align>center</wp:align>
          </wp:positionV>
          <wp:extent cx="5274310" cy="5247640"/>
          <wp:effectExtent l="0" t="0" r="13970" b="10160"/>
          <wp:wrapNone/>
          <wp:docPr id="9" name="WordPictureWatermark34001"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WordPictureWatermark34001" descr="LOGO"/>
                  <pic:cNvPicPr>
                    <a:picLocks noChangeAspect="1"/>
                  </pic:cNvPicPr>
                </pic:nvPicPr>
                <pic:blipFill>
                  <a:blip r:embed="rId1"/>
                  <a:stretch>
                    <a:fillRect/>
                  </a:stretch>
                </pic:blipFill>
                <pic:spPr>
                  <a:xfrm>
                    <a:off x="0" y="0"/>
                    <a:ext cx="5274310" cy="5247640"/>
                  </a:xfrm>
                  <a:prstGeom prst="rect">
                    <a:avLst/>
                  </a:prstGeom>
                  <a:noFill/>
                  <a:ln>
                    <a:noFill/>
                  </a:ln>
                </pic:spPr>
              </pic:pic>
            </a:graphicData>
          </a:graphic>
        </wp:anchor>
      </w:drawing>
    </w:r>
    <w:r>
      <w:rPr>
        <w:rFonts w:hint="eastAsia" w:ascii="黑体" w:hAnsi="黑体" w:eastAsia="黑体" w:cs="黑体"/>
        <w:color w:val="000000" w:themeColor="text1"/>
        <w:sz w:val="21"/>
        <w:szCs w:val="21"/>
        <w14:textFill>
          <w14:solidFill>
            <w14:schemeClr w14:val="tx1"/>
          </w14:solidFill>
        </w14:textFill>
      </w:rPr>
      <w:t xml:space="preserve">CCS </w:t>
    </w:r>
    <w:r>
      <w:rPr>
        <w:rFonts w:hint="eastAsia" w:ascii="黑体" w:hAnsi="黑体" w:eastAsia="黑体" w:cs="黑体"/>
        <w:color w:val="000000" w:themeColor="text1"/>
        <w:sz w:val="21"/>
        <w:szCs w:val="21"/>
        <w:lang w:val="en-US" w:eastAsia="zh-CN"/>
        <w14:textFill>
          <w14:solidFill>
            <w14:schemeClr w14:val="tx1"/>
          </w14:solidFill>
        </w14:textFill>
      </w:rPr>
      <w:t>F01</w:t>
    </w:r>
    <w:r>
      <w:rPr>
        <w:rFonts w:hint="eastAsia" w:ascii="黑体" w:hAnsi="黑体" w:eastAsia="黑体" w:cs="黑体"/>
        <w:color w:val="000000" w:themeColor="text1"/>
        <w:sz w:val="21"/>
        <w:szCs w:val="21"/>
        <w:lang w:val="en-US" w:eastAsia="zh-CN"/>
        <w14:textFill>
          <w14:solidFill>
            <w14:schemeClr w14:val="tx1"/>
          </w14:solidFill>
        </w14:textFill>
      </w:rP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601646">
    <w:pPr>
      <w:pStyle w:val="5"/>
      <w:pBdr>
        <w:bottom w:val="none" w:color="auto" w:sz="0" w:space="1"/>
      </w:pBdr>
      <w:jc w:val="right"/>
      <w:rPr>
        <w:szCs w:val="21"/>
      </w:rPr>
    </w:pPr>
    <w:r>
      <w:rPr>
        <w:sz w:val="18"/>
      </w:rPr>
      <w:drawing>
        <wp:anchor distT="0" distB="0" distL="114300" distR="114300" simplePos="0" relativeHeight="251668480" behindDoc="1" locked="0" layoutInCell="1" allowOverlap="1">
          <wp:simplePos x="0" y="0"/>
          <wp:positionH relativeFrom="margin">
            <wp:align>center</wp:align>
          </wp:positionH>
          <wp:positionV relativeFrom="margin">
            <wp:align>center</wp:align>
          </wp:positionV>
          <wp:extent cx="5274310" cy="5247640"/>
          <wp:effectExtent l="0" t="0" r="13970" b="10160"/>
          <wp:wrapNone/>
          <wp:docPr id="11" name="WordPictureWatermark34001"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WordPictureWatermark34001" descr="LOGO"/>
                  <pic:cNvPicPr>
                    <a:picLocks noChangeAspect="1"/>
                  </pic:cNvPicPr>
                </pic:nvPicPr>
                <pic:blipFill>
                  <a:blip r:embed="rId1"/>
                  <a:stretch>
                    <a:fillRect/>
                  </a:stretch>
                </pic:blipFill>
                <pic:spPr>
                  <a:xfrm>
                    <a:off x="0" y="0"/>
                    <a:ext cx="5274310" cy="5247640"/>
                  </a:xfrm>
                  <a:prstGeom prst="rect">
                    <a:avLst/>
                  </a:prstGeom>
                  <a:noFill/>
                  <a:ln>
                    <a:noFill/>
                  </a:ln>
                </pic:spPr>
              </pic:pic>
            </a:graphicData>
          </a:graphic>
        </wp:anchor>
      </w:drawing>
    </w:r>
    <w:r>
      <w:rPr>
        <w:rFonts w:hint="eastAsia" w:ascii="Times New Roman" w:hAnsi="Times New Roman" w:cs="Times New Roman"/>
      </w:rPr>
      <w:t>T/</w:t>
    </w:r>
    <w:r>
      <w:rPr>
        <w:rFonts w:hint="eastAsia" w:ascii="Times New Roman" w:hAnsi="Times New Roman" w:cs="Times New Roman"/>
        <w:lang w:val="en-US" w:eastAsia="zh-CN"/>
      </w:rPr>
      <w:t>CECA-G XXXX</w:t>
    </w:r>
    <w:r>
      <w:rPr>
        <w:rFonts w:hint="eastAsia" w:ascii="Times New Roman" w:hAnsi="Times New Roman" w:cs="Times New Roman"/>
      </w:rPr>
      <w:t>—202</w:t>
    </w:r>
    <w:r>
      <w:rPr>
        <w:rFonts w:hint="eastAsia" w:ascii="Times New Roman" w:hAnsi="Times New Roman" w:cs="Times New Roman"/>
        <w:lang w:val="en-US" w:eastAsia="zh-CN"/>
      </w:rPr>
      <w:t>X</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047B7E">
    <w:pPr>
      <w:keepNext w:val="0"/>
      <w:keepLines w:val="0"/>
      <w:pageBreakBefore w:val="0"/>
      <w:widowControl w:val="0"/>
      <w:kinsoku/>
      <w:wordWrap/>
      <w:overflowPunct/>
      <w:topLinePunct w:val="0"/>
      <w:bidi w:val="0"/>
      <w:adjustRightInd/>
      <w:snapToGrid/>
      <w:spacing w:after="170" w:line="238" w:lineRule="auto"/>
      <w:ind w:left="6270"/>
      <w:jc w:val="right"/>
      <w:textAlignment w:val="auto"/>
      <w:rPr>
        <w:rFonts w:hint="default"/>
        <w:lang w:val="en-US"/>
      </w:rPr>
    </w:pPr>
    <w:r>
      <w:rPr>
        <w:sz w:val="18"/>
      </w:rPr>
      <w:drawing>
        <wp:anchor distT="0" distB="0" distL="114300" distR="114300" simplePos="0" relativeHeight="251669504" behindDoc="1" locked="0" layoutInCell="1" allowOverlap="1">
          <wp:simplePos x="0" y="0"/>
          <wp:positionH relativeFrom="margin">
            <wp:align>center</wp:align>
          </wp:positionH>
          <wp:positionV relativeFrom="margin">
            <wp:align>center</wp:align>
          </wp:positionV>
          <wp:extent cx="5274310" cy="5247640"/>
          <wp:effectExtent l="0" t="0" r="13970" b="10160"/>
          <wp:wrapNone/>
          <wp:docPr id="12" name="WordPictureWatermark34001"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WordPictureWatermark34001" descr="LOGO"/>
                  <pic:cNvPicPr>
                    <a:picLocks noChangeAspect="1"/>
                  </pic:cNvPicPr>
                </pic:nvPicPr>
                <pic:blipFill>
                  <a:blip r:embed="rId1"/>
                  <a:stretch>
                    <a:fillRect/>
                  </a:stretch>
                </pic:blipFill>
                <pic:spPr>
                  <a:xfrm>
                    <a:off x="0" y="0"/>
                    <a:ext cx="5274310" cy="5247640"/>
                  </a:xfrm>
                  <a:prstGeom prst="rect">
                    <a:avLst/>
                  </a:prstGeom>
                  <a:noFill/>
                  <a:ln>
                    <a:noFill/>
                  </a:ln>
                </pic:spPr>
              </pic:pic>
            </a:graphicData>
          </a:graphic>
        </wp:anchor>
      </w:drawing>
    </w:r>
    <w:r>
      <w:rPr>
        <w:rFonts w:hint="eastAsia" w:ascii="黑体" w:hAnsi="黑体" w:eastAsia="黑体" w:cs="黑体"/>
        <w:sz w:val="21"/>
        <w:szCs w:val="21"/>
      </w:rPr>
      <w:t>T</w:t>
    </w:r>
    <w:r>
      <w:rPr>
        <w:rFonts w:hint="eastAsia" w:ascii="黑体" w:hAnsi="黑体" w:eastAsia="黑体" w:cs="黑体"/>
        <w:color w:val="000000"/>
        <w:kern w:val="0"/>
        <w:sz w:val="21"/>
        <w:szCs w:val="21"/>
      </w:rPr>
      <w:t>/</w:t>
    </w:r>
    <w:r>
      <w:rPr>
        <w:rFonts w:hint="eastAsia" w:ascii="黑体" w:hAnsi="黑体" w:eastAsia="黑体" w:cs="黑体"/>
        <w:sz w:val="21"/>
        <w:szCs w:val="21"/>
      </w:rPr>
      <w:t>CECA-</w:t>
    </w:r>
    <w:r>
      <w:rPr>
        <w:rFonts w:hint="eastAsia" w:ascii="黑体" w:hAnsi="黑体" w:eastAsia="黑体" w:cs="黑体"/>
        <w:sz w:val="21"/>
        <w:szCs w:val="21"/>
        <w:lang w:eastAsia="zh-CN"/>
      </w:rPr>
      <w:t xml:space="preserve">G </w:t>
    </w:r>
    <w:r>
      <w:rPr>
        <w:rFonts w:hint="eastAsia" w:ascii="黑体" w:hAnsi="黑体" w:eastAsia="黑体" w:cs="黑体"/>
        <w:sz w:val="21"/>
        <w:szCs w:val="21"/>
        <w:lang w:val="en-US" w:eastAsia="zh-CN"/>
      </w:rPr>
      <w:t>X</w:t>
    </w:r>
    <w:r>
      <w:rPr>
        <w:rFonts w:hint="eastAsia" w:ascii="黑体" w:hAnsi="黑体" w:eastAsia="黑体" w:cs="黑体"/>
        <w:sz w:val="21"/>
        <w:szCs w:val="21"/>
        <w:lang w:eastAsia="zh-CN"/>
      </w:rPr>
      <w:t>XXX</w:t>
    </w:r>
    <w:r>
      <w:rPr>
        <w:rFonts w:hint="eastAsia" w:ascii="黑体" w:hAnsi="黑体" w:eastAsia="黑体" w:cs="黑体"/>
        <w:sz w:val="21"/>
        <w:szCs w:val="21"/>
      </w:rPr>
      <w:t>—20</w:t>
    </w:r>
    <w:r>
      <w:rPr>
        <w:rFonts w:hint="eastAsia" w:ascii="黑体" w:hAnsi="黑体" w:eastAsia="黑体" w:cs="黑体"/>
        <w:sz w:val="21"/>
        <w:szCs w:val="21"/>
        <w:lang w:val="en-US" w:eastAsia="zh-CN"/>
      </w:rPr>
      <w:t>XX</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84E2F6">
    <w:pPr>
      <w:keepNext w:val="0"/>
      <w:keepLines w:val="0"/>
      <w:pageBreakBefore w:val="0"/>
      <w:widowControl w:val="0"/>
      <w:kinsoku/>
      <w:wordWrap/>
      <w:overflowPunct/>
      <w:topLinePunct w:val="0"/>
      <w:bidi w:val="0"/>
      <w:adjustRightInd/>
      <w:snapToGrid/>
      <w:spacing w:after="170" w:line="238" w:lineRule="auto"/>
      <w:ind w:left="6270"/>
      <w:jc w:val="right"/>
      <w:textAlignment w:val="auto"/>
      <w:rPr>
        <w:rFonts w:hint="default" w:eastAsia="黑体"/>
        <w:lang w:val="en-US" w:eastAsia="zh-CN"/>
      </w:rPr>
    </w:pPr>
    <w:r>
      <w:rPr>
        <w:sz w:val="18"/>
      </w:rPr>
      <w:drawing>
        <wp:anchor distT="0" distB="0" distL="114300" distR="114300" simplePos="0" relativeHeight="251670528" behindDoc="1" locked="0" layoutInCell="1" allowOverlap="1">
          <wp:simplePos x="0" y="0"/>
          <wp:positionH relativeFrom="margin">
            <wp:align>center</wp:align>
          </wp:positionH>
          <wp:positionV relativeFrom="margin">
            <wp:align>center</wp:align>
          </wp:positionV>
          <wp:extent cx="5274310" cy="5247640"/>
          <wp:effectExtent l="0" t="0" r="13970" b="10160"/>
          <wp:wrapNone/>
          <wp:docPr id="13" name="WordPictureWatermark34001"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WordPictureWatermark34001" descr="LOGO"/>
                  <pic:cNvPicPr>
                    <a:picLocks noChangeAspect="1"/>
                  </pic:cNvPicPr>
                </pic:nvPicPr>
                <pic:blipFill>
                  <a:blip r:embed="rId1"/>
                  <a:stretch>
                    <a:fillRect/>
                  </a:stretch>
                </pic:blipFill>
                <pic:spPr>
                  <a:xfrm>
                    <a:off x="0" y="0"/>
                    <a:ext cx="5274310" cy="5247640"/>
                  </a:xfrm>
                  <a:prstGeom prst="rect">
                    <a:avLst/>
                  </a:prstGeom>
                  <a:noFill/>
                  <a:ln>
                    <a:noFill/>
                  </a:ln>
                </pic:spPr>
              </pic:pic>
            </a:graphicData>
          </a:graphic>
        </wp:anchor>
      </w:drawing>
    </w:r>
    <w:r>
      <w:rPr>
        <w:rFonts w:hint="eastAsia" w:ascii="黑体" w:hAnsi="黑体" w:eastAsia="黑体" w:cs="黑体"/>
        <w:sz w:val="21"/>
        <w:szCs w:val="21"/>
      </w:rPr>
      <w:t>T</w:t>
    </w:r>
    <w:r>
      <w:rPr>
        <w:rFonts w:hint="eastAsia" w:ascii="黑体" w:hAnsi="黑体" w:eastAsia="黑体" w:cs="黑体"/>
        <w:color w:val="000000"/>
        <w:kern w:val="0"/>
        <w:sz w:val="21"/>
        <w:szCs w:val="21"/>
      </w:rPr>
      <w:t>/</w:t>
    </w:r>
    <w:r>
      <w:rPr>
        <w:rFonts w:hint="eastAsia" w:ascii="黑体" w:hAnsi="黑体" w:eastAsia="黑体" w:cs="黑体"/>
        <w:sz w:val="21"/>
        <w:szCs w:val="21"/>
      </w:rPr>
      <w:t>CECA-</w:t>
    </w:r>
    <w:r>
      <w:rPr>
        <w:rFonts w:hint="eastAsia" w:ascii="黑体" w:hAnsi="黑体" w:eastAsia="黑体" w:cs="黑体"/>
        <w:sz w:val="21"/>
        <w:szCs w:val="21"/>
        <w:lang w:eastAsia="zh-CN"/>
      </w:rPr>
      <w:t xml:space="preserve">G </w:t>
    </w:r>
    <w:r>
      <w:rPr>
        <w:rFonts w:hint="eastAsia" w:ascii="黑体" w:hAnsi="黑体" w:eastAsia="黑体" w:cs="黑体"/>
        <w:sz w:val="21"/>
        <w:szCs w:val="21"/>
        <w:lang w:val="en-US" w:eastAsia="zh-CN"/>
      </w:rPr>
      <w:t>X</w:t>
    </w:r>
    <w:r>
      <w:rPr>
        <w:rFonts w:hint="eastAsia" w:ascii="黑体" w:hAnsi="黑体" w:eastAsia="黑体" w:cs="黑体"/>
        <w:sz w:val="21"/>
        <w:szCs w:val="21"/>
        <w:lang w:eastAsia="zh-CN"/>
      </w:rPr>
      <w:t>XXX</w:t>
    </w:r>
    <w:r>
      <w:rPr>
        <w:rFonts w:hint="eastAsia" w:ascii="黑体" w:hAnsi="黑体" w:eastAsia="黑体" w:cs="黑体"/>
        <w:sz w:val="21"/>
        <w:szCs w:val="21"/>
      </w:rPr>
      <w:t>—20</w:t>
    </w:r>
    <w:r>
      <w:rPr>
        <w:rFonts w:hint="eastAsia" w:ascii="黑体" w:hAnsi="黑体" w:eastAsia="黑体" w:cs="黑体"/>
        <w:sz w:val="21"/>
        <w:szCs w:val="21"/>
        <w:lang w:val="en-US" w:eastAsia="zh-CN"/>
      </w:rPr>
      <w:t>26</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9FB8563"/>
    <w:multiLevelType w:val="multilevel"/>
    <w:tmpl w:val="89FB8563"/>
    <w:lvl w:ilvl="0" w:tentative="0">
      <w:start w:val="1"/>
      <w:numFmt w:val="lowerLetter"/>
      <w:pStyle w:val="33"/>
      <w:lvlText w:val="%1)"/>
      <w:lvlJc w:val="left"/>
      <w:pPr>
        <w:tabs>
          <w:tab w:val="left" w:pos="851"/>
        </w:tabs>
        <w:ind w:left="851" w:hanging="426"/>
      </w:pPr>
      <w:rPr>
        <w:rFonts w:hint="eastAsia" w:ascii="宋体" w:hAnsi="Times New Roman" w:eastAsia="宋体"/>
        <w:sz w:val="21"/>
      </w:rPr>
    </w:lvl>
    <w:lvl w:ilvl="1" w:tentative="0">
      <w:start w:val="1"/>
      <w:numFmt w:val="decimal"/>
      <w:lvlText w:val="%2)"/>
      <w:lvlJc w:val="left"/>
      <w:pPr>
        <w:tabs>
          <w:tab w:val="left" w:pos="1276"/>
        </w:tabs>
        <w:ind w:left="1276" w:hanging="425"/>
      </w:pPr>
      <w:rPr>
        <w:rFonts w:hint="eastAsia" w:ascii="宋体" w:hAnsi="Times New Roman" w:eastAsia="宋体"/>
        <w:sz w:val="21"/>
      </w:rPr>
    </w:lvl>
    <w:lvl w:ilvl="2" w:tentative="0">
      <w:start w:val="1"/>
      <w:numFmt w:val="decimal"/>
      <w:lvlText w:val="(%3)"/>
      <w:lvlJc w:val="left"/>
      <w:pPr>
        <w:ind w:left="1701" w:hanging="425"/>
      </w:pPr>
      <w:rPr>
        <w:rFonts w:hint="eastAsia" w:ascii="宋体" w:hAnsi="Times New Roman" w:eastAsia="宋体"/>
        <w:sz w:val="21"/>
      </w:rPr>
    </w:lvl>
    <w:lvl w:ilvl="3" w:tentative="0">
      <w:start w:val="1"/>
      <w:numFmt w:val="decimal"/>
      <w:lvlText w:val="%4."/>
      <w:lvlJc w:val="left"/>
      <w:pPr>
        <w:tabs>
          <w:tab w:val="left" w:pos="2100"/>
        </w:tabs>
        <w:ind w:left="2099" w:hanging="419"/>
      </w:pPr>
      <w:rPr>
        <w:rFonts w:hint="eastAsia"/>
      </w:rPr>
    </w:lvl>
    <w:lvl w:ilvl="4" w:tentative="0">
      <w:start w:val="1"/>
      <w:numFmt w:val="lowerLetter"/>
      <w:lvlText w:val="%5)"/>
      <w:lvlJc w:val="left"/>
      <w:pPr>
        <w:tabs>
          <w:tab w:val="left" w:pos="2520"/>
        </w:tabs>
        <w:ind w:left="2519" w:hanging="419"/>
      </w:pPr>
      <w:rPr>
        <w:rFonts w:hint="eastAsia"/>
      </w:rPr>
    </w:lvl>
    <w:lvl w:ilvl="5" w:tentative="0">
      <w:start w:val="1"/>
      <w:numFmt w:val="lowerRoman"/>
      <w:lvlText w:val="%6."/>
      <w:lvlJc w:val="right"/>
      <w:pPr>
        <w:tabs>
          <w:tab w:val="left" w:pos="2940"/>
        </w:tabs>
        <w:ind w:left="2939" w:hanging="419"/>
      </w:pPr>
      <w:rPr>
        <w:rFonts w:hint="eastAsia"/>
      </w:rPr>
    </w:lvl>
    <w:lvl w:ilvl="6" w:tentative="0">
      <w:start w:val="1"/>
      <w:numFmt w:val="decimal"/>
      <w:lvlText w:val="%7."/>
      <w:lvlJc w:val="left"/>
      <w:pPr>
        <w:tabs>
          <w:tab w:val="left" w:pos="3360"/>
        </w:tabs>
        <w:ind w:left="3359" w:hanging="419"/>
      </w:pPr>
      <w:rPr>
        <w:rFonts w:hint="eastAsia"/>
      </w:rPr>
    </w:lvl>
    <w:lvl w:ilvl="7" w:tentative="0">
      <w:start w:val="1"/>
      <w:numFmt w:val="lowerLetter"/>
      <w:lvlText w:val="%8)"/>
      <w:lvlJc w:val="left"/>
      <w:pPr>
        <w:tabs>
          <w:tab w:val="left" w:pos="3780"/>
        </w:tabs>
        <w:ind w:left="3779" w:hanging="419"/>
      </w:pPr>
      <w:rPr>
        <w:rFonts w:hint="eastAsia"/>
      </w:rPr>
    </w:lvl>
    <w:lvl w:ilvl="8" w:tentative="0">
      <w:start w:val="1"/>
      <w:numFmt w:val="lowerRoman"/>
      <w:lvlText w:val="%9."/>
      <w:lvlJc w:val="right"/>
      <w:pPr>
        <w:tabs>
          <w:tab w:val="left" w:pos="4200"/>
        </w:tabs>
        <w:ind w:left="4199" w:hanging="419"/>
      </w:pPr>
      <w:rPr>
        <w:rFonts w:hint="eastAsia"/>
      </w:rPr>
    </w:lvl>
  </w:abstractNum>
  <w:abstractNum w:abstractNumId="1">
    <w:nsid w:val="1FC91163"/>
    <w:multiLevelType w:val="multilevel"/>
    <w:tmpl w:val="1FC91163"/>
    <w:lvl w:ilvl="0" w:tentative="0">
      <w:start w:val="1"/>
      <w:numFmt w:val="decimal"/>
      <w:pStyle w:val="14"/>
      <w:suff w:val="nothing"/>
      <w:lvlText w:val="%1　"/>
      <w:lvlJc w:val="left"/>
      <w:pPr>
        <w:ind w:left="142" w:firstLine="0"/>
      </w:pPr>
      <w:rPr>
        <w:rFonts w:hint="eastAsia" w:ascii="黑体" w:hAnsi="Times New Roman" w:eastAsia="黑体"/>
        <w:b w:val="0"/>
        <w:i w:val="0"/>
        <w:sz w:val="21"/>
        <w:szCs w:val="21"/>
      </w:rPr>
    </w:lvl>
    <w:lvl w:ilvl="1" w:tentative="0">
      <w:start w:val="1"/>
      <w:numFmt w:val="decimal"/>
      <w:pStyle w:val="17"/>
      <w:suff w:val="nothing"/>
      <w:lvlText w:val="%1.%2　"/>
      <w:lvlJc w:val="left"/>
      <w:rPr>
        <w:rFonts w:hint="eastAsia" w:ascii="黑体" w:hAnsi="Times New Roman" w:eastAsia="黑体" w:cs="Times New Roman"/>
        <w:b w:val="0"/>
        <w:bCs w:val="0"/>
        <w:i w:val="0"/>
        <w:iCs w:val="0"/>
        <w:caps w:val="0"/>
        <w:strike w:val="0"/>
        <w:dstrike w:val="0"/>
        <w:vanish w:val="0"/>
        <w:color w:val="000000"/>
        <w:spacing w:val="0"/>
        <w:kern w:val="0"/>
        <w:position w:val="0"/>
        <w:sz w:val="21"/>
        <w:szCs w:val="21"/>
        <w:u w:val="none"/>
        <w:vertAlign w:val="baseline"/>
        <w14:shadow w14:blurRad="0" w14:dist="0" w14:dir="0" w14:sx="0" w14:sy="0" w14:kx="0" w14:ky="0" w14:algn="none">
          <w14:srgbClr w14:val="000000"/>
        </w14:shadow>
      </w:rPr>
    </w:lvl>
    <w:lvl w:ilvl="2" w:tentative="0">
      <w:start w:val="1"/>
      <w:numFmt w:val="decimal"/>
      <w:suff w:val="nothing"/>
      <w:lvlText w:val="%1.%2.%3　"/>
      <w:lvlJc w:val="left"/>
      <w:pPr>
        <w:ind w:left="0" w:firstLine="0"/>
      </w:pPr>
      <w:rPr>
        <w:rFonts w:hint="eastAsia" w:ascii="黑体" w:hAnsi="Times New Roman" w:eastAsia="黑体"/>
        <w:b w:val="0"/>
        <w:i w:val="0"/>
        <w:sz w:val="21"/>
      </w:rPr>
    </w:lvl>
    <w:lvl w:ilvl="3" w:tentative="0">
      <w:start w:val="1"/>
      <w:numFmt w:val="decimal"/>
      <w:suff w:val="nothing"/>
      <w:lvlText w:val="%1.%2.%3.%4　"/>
      <w:lvlJc w:val="left"/>
      <w:pPr>
        <w:ind w:left="0" w:firstLine="0"/>
      </w:pPr>
      <w:rPr>
        <w:rFonts w:hint="eastAsia" w:ascii="黑体" w:hAnsi="Times New Roman" w:eastAsia="黑体"/>
        <w:b w:val="0"/>
        <w:i w:val="0"/>
        <w:sz w:val="21"/>
      </w:rPr>
    </w:lvl>
    <w:lvl w:ilvl="4" w:tentative="0">
      <w:start w:val="1"/>
      <w:numFmt w:val="decimal"/>
      <w:suff w:val="nothing"/>
      <w:lvlText w:val="%1.%2.%3.%4.%5　"/>
      <w:lvlJc w:val="left"/>
      <w:pPr>
        <w:ind w:left="0" w:firstLine="0"/>
      </w:pPr>
      <w:rPr>
        <w:rFonts w:hint="eastAsia" w:ascii="黑体" w:hAnsi="Times New Roman" w:eastAsia="黑体"/>
        <w:b w:val="0"/>
        <w:i w:val="0"/>
        <w:sz w:val="21"/>
      </w:rPr>
    </w:lvl>
    <w:lvl w:ilvl="5" w:tentative="0">
      <w:start w:val="1"/>
      <w:numFmt w:val="decimal"/>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2">
    <w:nsid w:val="2C5917C3"/>
    <w:multiLevelType w:val="multilevel"/>
    <w:tmpl w:val="2C5917C3"/>
    <w:lvl w:ilvl="0" w:tentative="0">
      <w:start w:val="1"/>
      <w:numFmt w:val="none"/>
      <w:pStyle w:val="32"/>
      <w:lvlText w:val="%1——"/>
      <w:lvlJc w:val="left"/>
      <w:pPr>
        <w:tabs>
          <w:tab w:val="left" w:pos="851"/>
        </w:tabs>
        <w:ind w:left="851" w:hanging="426"/>
      </w:pPr>
      <w:rPr>
        <w:rFonts w:hint="eastAsia" w:ascii="宋体" w:hAnsi="Times New Roman" w:eastAsia="宋体"/>
        <w:b w:val="0"/>
        <w:i w:val="0"/>
        <w:sz w:val="21"/>
      </w:rPr>
    </w:lvl>
    <w:lvl w:ilvl="1" w:tentative="0">
      <w:start w:val="1"/>
      <w:numFmt w:val="none"/>
      <w:lvlText w:val=""/>
      <w:lvlJc w:val="left"/>
      <w:pPr>
        <w:ind w:left="851" w:hanging="431"/>
      </w:pPr>
      <w:rPr>
        <w:rFonts w:hint="default" w:ascii="Symbol" w:hAnsi="Symbol"/>
        <w:sz w:val="21"/>
      </w:rPr>
    </w:lvl>
    <w:lvl w:ilvl="2" w:tentative="0">
      <w:start w:val="1"/>
      <w:numFmt w:val="bullet"/>
      <w:lvlText w:val=""/>
      <w:lvlJc w:val="left"/>
      <w:pPr>
        <w:ind w:left="851" w:hanging="426"/>
      </w:pPr>
      <w:rPr>
        <w:rFonts w:hint="default" w:ascii="Wingdings" w:hAnsi="Wingdings"/>
        <w:sz w:val="21"/>
      </w:rPr>
    </w:lvl>
    <w:lvl w:ilvl="3" w:tentative="0">
      <w:start w:val="1"/>
      <w:numFmt w:val="decimal"/>
      <w:lvlText w:val="%4."/>
      <w:lvlJc w:val="left"/>
      <w:pPr>
        <w:tabs>
          <w:tab w:val="left" w:pos="2071"/>
        </w:tabs>
        <w:ind w:left="1884" w:hanging="528"/>
      </w:pPr>
      <w:rPr>
        <w:rFonts w:hint="eastAsia"/>
      </w:rPr>
    </w:lvl>
    <w:lvl w:ilvl="4" w:tentative="0">
      <w:start w:val="1"/>
      <w:numFmt w:val="lowerLetter"/>
      <w:lvlText w:val="%5)"/>
      <w:lvlJc w:val="left"/>
      <w:pPr>
        <w:tabs>
          <w:tab w:val="left" w:pos="2383"/>
        </w:tabs>
        <w:ind w:left="2196" w:hanging="528"/>
      </w:pPr>
      <w:rPr>
        <w:rFonts w:hint="eastAsia"/>
      </w:rPr>
    </w:lvl>
    <w:lvl w:ilvl="5" w:tentative="0">
      <w:start w:val="1"/>
      <w:numFmt w:val="lowerRoman"/>
      <w:lvlText w:val="%6."/>
      <w:lvlJc w:val="right"/>
      <w:pPr>
        <w:tabs>
          <w:tab w:val="left" w:pos="2695"/>
        </w:tabs>
        <w:ind w:left="2508" w:hanging="528"/>
      </w:pPr>
      <w:rPr>
        <w:rFonts w:hint="eastAsia"/>
      </w:rPr>
    </w:lvl>
    <w:lvl w:ilvl="6" w:tentative="0">
      <w:start w:val="1"/>
      <w:numFmt w:val="decimal"/>
      <w:lvlText w:val="%7."/>
      <w:lvlJc w:val="left"/>
      <w:pPr>
        <w:tabs>
          <w:tab w:val="left" w:pos="3007"/>
        </w:tabs>
        <w:ind w:left="2820" w:hanging="528"/>
      </w:pPr>
      <w:rPr>
        <w:rFonts w:hint="eastAsia"/>
      </w:rPr>
    </w:lvl>
    <w:lvl w:ilvl="7" w:tentative="0">
      <w:start w:val="1"/>
      <w:numFmt w:val="lowerLetter"/>
      <w:lvlText w:val="%8)"/>
      <w:lvlJc w:val="left"/>
      <w:pPr>
        <w:tabs>
          <w:tab w:val="left" w:pos="3319"/>
        </w:tabs>
        <w:ind w:left="3132" w:hanging="528"/>
      </w:pPr>
      <w:rPr>
        <w:rFonts w:hint="eastAsia"/>
      </w:rPr>
    </w:lvl>
    <w:lvl w:ilvl="8" w:tentative="0">
      <w:start w:val="1"/>
      <w:numFmt w:val="lowerRoman"/>
      <w:lvlText w:val="%9."/>
      <w:lvlJc w:val="right"/>
      <w:pPr>
        <w:tabs>
          <w:tab w:val="left" w:pos="3631"/>
        </w:tabs>
        <w:ind w:left="3444" w:hanging="528"/>
      </w:pPr>
      <w:rPr>
        <w:rFonts w:hint="eastAsia"/>
      </w:rPr>
    </w:lvl>
  </w:abstractNum>
  <w:abstractNum w:abstractNumId="3">
    <w:nsid w:val="5603797C"/>
    <w:multiLevelType w:val="multilevel"/>
    <w:tmpl w:val="5603797C"/>
    <w:lvl w:ilvl="0" w:tentative="0">
      <w:start w:val="1"/>
      <w:numFmt w:val="upperLetter"/>
      <w:suff w:val="space"/>
      <w:lvlText w:val="%1"/>
      <w:lvlJc w:val="left"/>
      <w:pPr>
        <w:ind w:left="425" w:hanging="425"/>
      </w:pPr>
      <w:rPr>
        <w:rFonts w:hint="eastAsia"/>
      </w:rPr>
    </w:lvl>
    <w:lvl w:ilvl="1" w:tentative="0">
      <w:start w:val="1"/>
      <w:numFmt w:val="decimal"/>
      <w:pStyle w:val="38"/>
      <w:suff w:val="space"/>
      <w:lvlText w:val="表%1.%2"/>
      <w:lvlJc w:val="center"/>
      <w:pPr>
        <w:ind w:left="0" w:firstLine="0"/>
      </w:pPr>
      <w:rPr>
        <w:rFonts w:hint="eastAsia" w:ascii="黑体" w:eastAsia="黑体"/>
        <w:sz w:val="21"/>
      </w:rPr>
    </w:lvl>
    <w:lvl w:ilvl="2" w:tentative="0">
      <w:start w:val="1"/>
      <w:numFmt w:val="decimal"/>
      <w:lvlText w:val="%1.%2.%3"/>
      <w:lvlJc w:val="left"/>
      <w:pPr>
        <w:ind w:left="1418" w:hanging="567"/>
      </w:pPr>
      <w:rPr>
        <w:rFonts w:hint="eastAsia"/>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4">
    <w:nsid w:val="646260FA"/>
    <w:multiLevelType w:val="multilevel"/>
    <w:tmpl w:val="646260FA"/>
    <w:lvl w:ilvl="0" w:tentative="0">
      <w:start w:val="1"/>
      <w:numFmt w:val="decimal"/>
      <w:pStyle w:val="34"/>
      <w:suff w:val="nothing"/>
      <w:lvlText w:val="表%1　"/>
      <w:lvlJc w:val="left"/>
      <w:pPr>
        <w:ind w:left="0" w:firstLine="0"/>
      </w:pPr>
    </w:lvl>
    <w:lvl w:ilvl="1" w:tentative="0">
      <w:start w:val="1"/>
      <w:numFmt w:val="decimal"/>
      <w:lvlText w:val="%1.%2"/>
      <w:lvlJc w:val="left"/>
      <w:pPr>
        <w:tabs>
          <w:tab w:val="left" w:pos="992"/>
        </w:tabs>
        <w:ind w:left="992" w:hanging="567"/>
      </w:pPr>
    </w:lvl>
    <w:lvl w:ilvl="2" w:tentative="0">
      <w:start w:val="1"/>
      <w:numFmt w:val="decimal"/>
      <w:lvlText w:val="%1.%2.%3"/>
      <w:lvlJc w:val="left"/>
      <w:pPr>
        <w:tabs>
          <w:tab w:val="left" w:pos="1417"/>
        </w:tabs>
        <w:ind w:left="1417" w:hanging="567"/>
      </w:pPr>
    </w:lvl>
    <w:lvl w:ilvl="3" w:tentative="0">
      <w:start w:val="1"/>
      <w:numFmt w:val="decimal"/>
      <w:lvlText w:val="%1.%2.%3.%4"/>
      <w:lvlJc w:val="left"/>
      <w:pPr>
        <w:tabs>
          <w:tab w:val="left" w:pos="1984"/>
        </w:tabs>
        <w:ind w:left="1984" w:hanging="708"/>
      </w:pPr>
    </w:lvl>
    <w:lvl w:ilvl="4" w:tentative="0">
      <w:start w:val="1"/>
      <w:numFmt w:val="decimal"/>
      <w:lvlText w:val="%1.%2.%3.%4.%5"/>
      <w:lvlJc w:val="left"/>
      <w:pPr>
        <w:tabs>
          <w:tab w:val="left" w:pos="2551"/>
        </w:tabs>
        <w:ind w:left="2551" w:hanging="850"/>
      </w:pPr>
    </w:lvl>
    <w:lvl w:ilvl="5" w:tentative="0">
      <w:start w:val="1"/>
      <w:numFmt w:val="decimal"/>
      <w:lvlText w:val="%1.%2.%3.%4.%5.%6"/>
      <w:lvlJc w:val="left"/>
      <w:pPr>
        <w:tabs>
          <w:tab w:val="left" w:pos="3260"/>
        </w:tabs>
        <w:ind w:left="3260" w:hanging="1134"/>
      </w:pPr>
    </w:lvl>
    <w:lvl w:ilvl="6" w:tentative="0">
      <w:start w:val="1"/>
      <w:numFmt w:val="decimal"/>
      <w:lvlText w:val="%1.%2.%3.%4.%5.%6.%7"/>
      <w:lvlJc w:val="left"/>
      <w:pPr>
        <w:tabs>
          <w:tab w:val="left" w:pos="3827"/>
        </w:tabs>
        <w:ind w:left="3827" w:hanging="1276"/>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5">
    <w:nsid w:val="657D3FBC"/>
    <w:multiLevelType w:val="multilevel"/>
    <w:tmpl w:val="657D3FBC"/>
    <w:lvl w:ilvl="0" w:tentative="0">
      <w:start w:val="1"/>
      <w:numFmt w:val="upperLetter"/>
      <w:pStyle w:val="19"/>
      <w:suff w:val="nothing"/>
      <w:lvlText w:val="附　录　%1"/>
      <w:lvlJc w:val="left"/>
      <w:pPr>
        <w:ind w:left="0" w:firstLine="0"/>
      </w:pPr>
      <w:rPr>
        <w:rFonts w:hint="eastAsia" w:ascii="黑体" w:hAnsi="Times New Roman" w:eastAsia="黑体"/>
        <w:b w:val="0"/>
        <w:i w:val="0"/>
        <w:spacing w:val="0"/>
        <w:w w:val="100"/>
        <w:sz w:val="21"/>
      </w:rPr>
    </w:lvl>
    <w:lvl w:ilvl="1" w:tentative="0">
      <w:start w:val="1"/>
      <w:numFmt w:val="decimal"/>
      <w:pStyle w:val="21"/>
      <w:suff w:val="nothing"/>
      <w:lvlText w:val="%1.%2　"/>
      <w:lvlJc w:val="left"/>
      <w:pPr>
        <w:ind w:left="0" w:firstLine="0"/>
      </w:pPr>
      <w:rPr>
        <w:rFonts w:hint="eastAsia" w:ascii="黑体" w:hAnsi="Times New Roman" w:eastAsia="黑体"/>
        <w:b w:val="0"/>
        <w:i w:val="0"/>
        <w:snapToGrid/>
        <w:spacing w:val="0"/>
        <w:w w:val="100"/>
        <w:kern w:val="21"/>
        <w:sz w:val="21"/>
      </w:rPr>
    </w:lvl>
    <w:lvl w:ilvl="2" w:tentative="0">
      <w:start w:val="1"/>
      <w:numFmt w:val="decimal"/>
      <w:pStyle w:val="22"/>
      <w:suff w:val="nothing"/>
      <w:lvlText w:val="%1.%2.%3　"/>
      <w:lvlJc w:val="left"/>
      <w:pPr>
        <w:ind w:left="315" w:firstLine="0"/>
      </w:pPr>
      <w:rPr>
        <w:rFonts w:hint="eastAsia" w:ascii="黑体" w:hAnsi="Times New Roman" w:eastAsia="黑体"/>
        <w:b w:val="0"/>
        <w:i w:val="0"/>
        <w:sz w:val="21"/>
      </w:rPr>
    </w:lvl>
    <w:lvl w:ilvl="3" w:tentative="0">
      <w:start w:val="1"/>
      <w:numFmt w:val="decimal"/>
      <w:suff w:val="nothing"/>
      <w:lvlText w:val="%1.%2.%3.%4　"/>
      <w:lvlJc w:val="left"/>
      <w:pPr>
        <w:ind w:left="0" w:firstLine="0"/>
      </w:pPr>
      <w:rPr>
        <w:rFonts w:hint="eastAsia" w:ascii="黑体" w:hAnsi="Times New Roman" w:eastAsia="黑体"/>
        <w:b w:val="0"/>
        <w:i w:val="0"/>
        <w:sz w:val="21"/>
      </w:rPr>
    </w:lvl>
    <w:lvl w:ilvl="4" w:tentative="0">
      <w:start w:val="1"/>
      <w:numFmt w:val="decimal"/>
      <w:suff w:val="nothing"/>
      <w:lvlText w:val="%1.%2.%3.%4.%5　"/>
      <w:lvlJc w:val="left"/>
      <w:pPr>
        <w:ind w:left="0" w:firstLine="0"/>
      </w:pPr>
      <w:rPr>
        <w:rFonts w:hint="eastAsia" w:ascii="黑体" w:hAnsi="Times New Roman" w:eastAsia="黑体"/>
        <w:b w:val="0"/>
        <w:i w:val="0"/>
        <w:sz w:val="21"/>
      </w:rPr>
    </w:lvl>
    <w:lvl w:ilvl="5" w:tentative="0">
      <w:start w:val="1"/>
      <w:numFmt w:val="decimal"/>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6">
    <w:nsid w:val="6CEA2025"/>
    <w:multiLevelType w:val="multilevel"/>
    <w:tmpl w:val="6CEA2025"/>
    <w:lvl w:ilvl="0" w:tentative="0">
      <w:start w:val="1"/>
      <w:numFmt w:val="none"/>
      <w:suff w:val="nothing"/>
      <w:lvlText w:val="%1"/>
      <w:lvlJc w:val="left"/>
      <w:pPr>
        <w:ind w:left="0" w:firstLine="0"/>
      </w:pPr>
      <w:rPr>
        <w:rFonts w:hint="eastAsia"/>
      </w:rPr>
    </w:lvl>
    <w:lvl w:ilvl="1" w:tentative="0">
      <w:start w:val="1"/>
      <w:numFmt w:val="decimal"/>
      <w:pStyle w:val="28"/>
      <w:suff w:val="nothing"/>
      <w:lvlText w:val="%1%2　"/>
      <w:lvlJc w:val="left"/>
      <w:pPr>
        <w:ind w:left="0" w:firstLine="0"/>
      </w:pPr>
      <w:rPr>
        <w:rFonts w:hint="eastAsia" w:ascii="黑体" w:eastAsia="黑体"/>
        <w:b w:val="0"/>
        <w:i w:val="0"/>
        <w:sz w:val="21"/>
      </w:rPr>
    </w:lvl>
    <w:lvl w:ilvl="2" w:tentative="0">
      <w:start w:val="1"/>
      <w:numFmt w:val="decimal"/>
      <w:pStyle w:val="27"/>
      <w:suff w:val="nothing"/>
      <w:lvlText w:val="%1%2.%3　"/>
      <w:lvlJc w:val="left"/>
      <w:pPr>
        <w:ind w:left="0" w:firstLine="0"/>
      </w:pPr>
      <w:rPr>
        <w:rFonts w:hint="eastAsia" w:ascii="黑体" w:hAnsi="Times New Roman" w:eastAsia="黑体" w:cs="Times New Roman"/>
        <w:b w:val="0"/>
        <w:bCs w:val="0"/>
        <w:i w:val="0"/>
        <w:iCs w:val="0"/>
        <w:caps w:val="0"/>
        <w:smallCaps w:val="0"/>
        <w:strike w:val="0"/>
        <w:dstrike w:val="0"/>
        <w:vanish w:val="0"/>
        <w:color w:val="000000"/>
        <w:spacing w:val="0"/>
        <w:kern w:val="0"/>
        <w:position w:val="0"/>
        <w:sz w:val="21"/>
        <w:u w:val="none"/>
        <w:vertAlign w:val="baseline"/>
      </w:rPr>
    </w:lvl>
    <w:lvl w:ilvl="3" w:tentative="0">
      <w:start w:val="1"/>
      <w:numFmt w:val="decimal"/>
      <w:pStyle w:val="29"/>
      <w:suff w:val="nothing"/>
      <w:lvlText w:val="%1%2.%3.%4　"/>
      <w:lvlJc w:val="left"/>
      <w:pPr>
        <w:ind w:left="0" w:firstLine="0"/>
      </w:pPr>
      <w:rPr>
        <w:rFonts w:hint="eastAsia" w:ascii="黑体" w:eastAsia="黑体"/>
        <w:b w:val="0"/>
        <w:i w:val="0"/>
        <w:sz w:val="21"/>
      </w:rPr>
    </w:lvl>
    <w:lvl w:ilvl="4" w:tentative="0">
      <w:start w:val="1"/>
      <w:numFmt w:val="decimal"/>
      <w:pStyle w:val="31"/>
      <w:suff w:val="nothing"/>
      <w:lvlText w:val="%1%2.%3.%4.%5　"/>
      <w:lvlJc w:val="left"/>
      <w:pPr>
        <w:ind w:left="0" w:firstLine="0"/>
      </w:pPr>
      <w:rPr>
        <w:rFonts w:hint="eastAsia" w:ascii="黑体" w:eastAsia="黑体"/>
        <w:b w:val="0"/>
        <w:i w:val="0"/>
        <w:sz w:val="21"/>
      </w:rPr>
    </w:lvl>
    <w:lvl w:ilvl="5" w:tentative="0">
      <w:start w:val="1"/>
      <w:numFmt w:val="decimal"/>
      <w:suff w:val="nothing"/>
      <w:lvlText w:val="%1%2.%3.%4.%5.%6　"/>
      <w:lvlJc w:val="left"/>
      <w:pPr>
        <w:ind w:left="0" w:firstLine="0"/>
      </w:pPr>
      <w:rPr>
        <w:rFonts w:hint="eastAsia" w:ascii="黑体" w:eastAsia="黑体"/>
        <w:b w:val="0"/>
        <w:i w:val="0"/>
        <w:sz w:val="21"/>
      </w:rPr>
    </w:lvl>
    <w:lvl w:ilvl="6" w:tentative="0">
      <w:start w:val="1"/>
      <w:numFmt w:val="decimal"/>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num w:numId="1">
    <w:abstractNumId w:val="1"/>
  </w:num>
  <w:num w:numId="2">
    <w:abstractNumId w:val="5"/>
  </w:num>
  <w:num w:numId="3">
    <w:abstractNumId w:val="6"/>
  </w:num>
  <w:num w:numId="4">
    <w:abstractNumId w:val="2"/>
  </w:num>
  <w:num w:numId="5">
    <w:abstractNumId w:val="0"/>
  </w:num>
  <w:num w:numId="6">
    <w:abstractNumId w:val="4"/>
  </w:num>
  <w:num w:numId="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TrueTypeFonts/>
  <w:saveSubsetFonts/>
  <w:bordersDoNotSurroundHeader w:val="0"/>
  <w:bordersDoNotSurroundFooter w:val="0"/>
  <w:trackRevisions w:val="1"/>
  <w:documentProtection w:enforcement="0"/>
  <w:defaultTabStop w:val="420"/>
  <w:drawingGridVerticalSpacing w:val="156"/>
  <w:displayHorizontalDrawingGridEvery w:val="1"/>
  <w:displayVerticalDrawingGridEvery w:val="1"/>
  <w:noPunctuationKerning w:val="1"/>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E3B7507"/>
    <w:rsid w:val="00A91156"/>
    <w:rsid w:val="00CD690B"/>
    <w:rsid w:val="00D31459"/>
    <w:rsid w:val="011E0236"/>
    <w:rsid w:val="07104B65"/>
    <w:rsid w:val="080C2D5D"/>
    <w:rsid w:val="0DE31D0B"/>
    <w:rsid w:val="0E52366A"/>
    <w:rsid w:val="105F7E70"/>
    <w:rsid w:val="11A227BD"/>
    <w:rsid w:val="13242C67"/>
    <w:rsid w:val="15EF3AF7"/>
    <w:rsid w:val="1B974AF9"/>
    <w:rsid w:val="1EDB10BC"/>
    <w:rsid w:val="1FFB35E3"/>
    <w:rsid w:val="235048FF"/>
    <w:rsid w:val="23FB7AB3"/>
    <w:rsid w:val="2B786611"/>
    <w:rsid w:val="31E92DA6"/>
    <w:rsid w:val="34056568"/>
    <w:rsid w:val="3715158E"/>
    <w:rsid w:val="377C3BA8"/>
    <w:rsid w:val="3A6541E4"/>
    <w:rsid w:val="3C133B46"/>
    <w:rsid w:val="3FF44B6B"/>
    <w:rsid w:val="40924F40"/>
    <w:rsid w:val="40C97778"/>
    <w:rsid w:val="429B15D2"/>
    <w:rsid w:val="440F37B8"/>
    <w:rsid w:val="442E77EA"/>
    <w:rsid w:val="45746B64"/>
    <w:rsid w:val="534826E3"/>
    <w:rsid w:val="55FD374A"/>
    <w:rsid w:val="562A1075"/>
    <w:rsid w:val="57273B0D"/>
    <w:rsid w:val="58706042"/>
    <w:rsid w:val="5E3B7507"/>
    <w:rsid w:val="6264627D"/>
    <w:rsid w:val="62FB2789"/>
    <w:rsid w:val="6DF250CF"/>
    <w:rsid w:val="748F3B68"/>
    <w:rsid w:val="749E63DE"/>
    <w:rsid w:val="750E3AC8"/>
    <w:rsid w:val="76390D34"/>
    <w:rsid w:val="7734249D"/>
    <w:rsid w:val="78D37573"/>
    <w:rsid w:val="7B397370"/>
    <w:rsid w:val="7B5E2943"/>
    <w:rsid w:val="7D4E7714"/>
    <w:rsid w:val="7FA4477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qFormat="1"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iPriority="99" w:semiHidden="0" w:name="header"/>
    <w:lsdException w:qFormat="1"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5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1"/>
      <w:lang w:val="en-US" w:eastAsia="zh-CN" w:bidi="ar-SA"/>
    </w:rPr>
  </w:style>
  <w:style w:type="paragraph" w:styleId="2">
    <w:name w:val="heading 1"/>
    <w:basedOn w:val="1"/>
    <w:next w:val="1"/>
    <w:qFormat/>
    <w:uiPriority w:val="0"/>
    <w:pPr>
      <w:spacing w:before="0" w:beforeAutospacing="1" w:after="0" w:afterAutospacing="1"/>
      <w:jc w:val="left"/>
    </w:pPr>
    <w:rPr>
      <w:rFonts w:hint="eastAsia" w:ascii="宋体" w:hAnsi="宋体" w:eastAsia="宋体" w:cs="宋体"/>
      <w:b/>
      <w:bCs/>
      <w:kern w:val="44"/>
      <w:sz w:val="48"/>
      <w:szCs w:val="48"/>
      <w:lang w:val="en-US" w:eastAsia="zh-CN" w:bidi="ar"/>
    </w:rPr>
  </w:style>
  <w:style w:type="character" w:default="1" w:styleId="10">
    <w:name w:val="Default Paragraph Font"/>
    <w:semiHidden/>
    <w:qFormat/>
    <w:uiPriority w:val="0"/>
  </w:style>
  <w:style w:type="table" w:default="1" w:styleId="8">
    <w:name w:val="Normal Table"/>
    <w:semiHidden/>
    <w:qFormat/>
    <w:uiPriority w:val="0"/>
    <w:tblPr>
      <w:tblCellMar>
        <w:top w:w="0" w:type="dxa"/>
        <w:left w:w="108" w:type="dxa"/>
        <w:bottom w:w="0" w:type="dxa"/>
        <w:right w:w="108" w:type="dxa"/>
      </w:tblCellMar>
    </w:tblPr>
  </w:style>
  <w:style w:type="paragraph" w:styleId="3">
    <w:name w:val="toc 3"/>
    <w:basedOn w:val="1"/>
    <w:next w:val="1"/>
    <w:qFormat/>
    <w:uiPriority w:val="0"/>
    <w:pPr>
      <w:ind w:left="840" w:leftChars="400"/>
    </w:pPr>
  </w:style>
  <w:style w:type="paragraph" w:styleId="4">
    <w:name w:val="footer"/>
    <w:basedOn w:val="1"/>
    <w:unhideWhenUsed/>
    <w:qFormat/>
    <w:uiPriority w:val="99"/>
    <w:pPr>
      <w:tabs>
        <w:tab w:val="center" w:pos="4153"/>
        <w:tab w:val="right" w:pos="8306"/>
      </w:tabs>
      <w:snapToGrid w:val="0"/>
      <w:jc w:val="left"/>
    </w:pPr>
    <w:rPr>
      <w:sz w:val="18"/>
      <w:szCs w:val="18"/>
    </w:rPr>
  </w:style>
  <w:style w:type="paragraph" w:styleId="5">
    <w:name w:val="header"/>
    <w:basedOn w:val="1"/>
    <w:unhideWhenUsed/>
    <w:qFormat/>
    <w:uiPriority w:val="99"/>
    <w:pPr>
      <w:pBdr>
        <w:bottom w:val="single" w:color="auto" w:sz="6" w:space="1"/>
      </w:pBdr>
      <w:tabs>
        <w:tab w:val="center" w:pos="4153"/>
        <w:tab w:val="right" w:pos="8306"/>
      </w:tabs>
      <w:snapToGrid w:val="0"/>
      <w:jc w:val="center"/>
    </w:pPr>
    <w:rPr>
      <w:sz w:val="18"/>
      <w:szCs w:val="18"/>
    </w:rPr>
  </w:style>
  <w:style w:type="paragraph" w:styleId="6">
    <w:name w:val="toc 1"/>
    <w:basedOn w:val="1"/>
    <w:next w:val="1"/>
    <w:qFormat/>
    <w:uiPriority w:val="0"/>
  </w:style>
  <w:style w:type="paragraph" w:styleId="7">
    <w:name w:val="toc 2"/>
    <w:basedOn w:val="1"/>
    <w:next w:val="1"/>
    <w:qFormat/>
    <w:uiPriority w:val="0"/>
    <w:pPr>
      <w:ind w:left="420" w:leftChars="200"/>
    </w:pPr>
  </w:style>
  <w:style w:type="table" w:styleId="9">
    <w:name w:val="Table Grid"/>
    <w:basedOn w:val="8"/>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1">
    <w:name w:val="Strong"/>
    <w:basedOn w:val="10"/>
    <w:qFormat/>
    <w:uiPriority w:val="0"/>
    <w:rPr>
      <w:b/>
    </w:rPr>
  </w:style>
  <w:style w:type="paragraph" w:customStyle="1" w:styleId="12">
    <w:name w:val="标准书眉_偶数页"/>
    <w:basedOn w:val="1"/>
    <w:next w:val="1"/>
    <w:qFormat/>
    <w:uiPriority w:val="99"/>
    <w:pPr>
      <w:widowControl/>
      <w:tabs>
        <w:tab w:val="center" w:pos="4154"/>
        <w:tab w:val="right" w:pos="8306"/>
      </w:tabs>
      <w:spacing w:after="120"/>
      <w:jc w:val="left"/>
    </w:pPr>
    <w:rPr>
      <w:rFonts w:ascii="Times New Roman" w:hAnsi="Times New Roman" w:eastAsia="宋体" w:cs="Times New Roman"/>
      <w:kern w:val="0"/>
      <w:szCs w:val="20"/>
    </w:rPr>
  </w:style>
  <w:style w:type="paragraph" w:customStyle="1" w:styleId="13">
    <w:name w:val="目次、标准名称标题"/>
    <w:basedOn w:val="1"/>
    <w:next w:val="1"/>
    <w:qFormat/>
    <w:uiPriority w:val="99"/>
    <w:pPr>
      <w:keepNext/>
      <w:pageBreakBefore/>
      <w:widowControl/>
      <w:shd w:val="clear" w:color="FFFFFF" w:fill="FFFFFF"/>
      <w:spacing w:before="640" w:after="560" w:line="460" w:lineRule="exact"/>
      <w:jc w:val="center"/>
      <w:outlineLvl w:val="0"/>
    </w:pPr>
    <w:rPr>
      <w:rFonts w:ascii="黑体" w:hAnsi="Times New Roman" w:eastAsia="黑体" w:cs="Times New Roman"/>
      <w:kern w:val="0"/>
      <w:sz w:val="32"/>
      <w:szCs w:val="20"/>
    </w:rPr>
  </w:style>
  <w:style w:type="paragraph" w:customStyle="1" w:styleId="14">
    <w:name w:val="章标题"/>
    <w:next w:val="15"/>
    <w:qFormat/>
    <w:uiPriority w:val="0"/>
    <w:pPr>
      <w:numPr>
        <w:ilvl w:val="0"/>
        <w:numId w:val="1"/>
      </w:numPr>
      <w:spacing w:beforeLines="100" w:afterLines="100"/>
      <w:jc w:val="both"/>
      <w:outlineLvl w:val="1"/>
    </w:pPr>
    <w:rPr>
      <w:rFonts w:ascii="黑体" w:hAnsi="Times New Roman" w:eastAsia="黑体" w:cs="Times New Roman"/>
      <w:sz w:val="21"/>
      <w:lang w:val="en-US" w:eastAsia="zh-CN" w:bidi="ar-SA"/>
    </w:rPr>
  </w:style>
  <w:style w:type="paragraph" w:customStyle="1" w:styleId="15">
    <w:name w:val="标准文件_段"/>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16">
    <w:name w:val="段"/>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paragraph" w:customStyle="1" w:styleId="17">
    <w:name w:val="一级条标题"/>
    <w:basedOn w:val="14"/>
    <w:next w:val="15"/>
    <w:qFormat/>
    <w:uiPriority w:val="0"/>
    <w:pPr>
      <w:numPr>
        <w:ilvl w:val="1"/>
      </w:numPr>
      <w:spacing w:beforeLines="50" w:afterLines="50"/>
      <w:outlineLvl w:val="2"/>
    </w:pPr>
    <w:rPr>
      <w:szCs w:val="21"/>
    </w:rPr>
  </w:style>
  <w:style w:type="paragraph" w:customStyle="1" w:styleId="18">
    <w:name w:val="前言、引言标题"/>
    <w:next w:val="16"/>
    <w:qFormat/>
    <w:uiPriority w:val="99"/>
    <w:pPr>
      <w:keepNext/>
      <w:pageBreakBefore/>
      <w:shd w:val="clear" w:color="FFFFFF" w:fill="FFFFFF"/>
      <w:spacing w:before="640" w:after="560"/>
      <w:jc w:val="center"/>
      <w:outlineLvl w:val="0"/>
    </w:pPr>
    <w:rPr>
      <w:rFonts w:ascii="黑体" w:hAnsi="Times New Roman" w:eastAsia="黑体" w:cs="Times New Roman"/>
      <w:sz w:val="32"/>
      <w:lang w:val="en-US" w:eastAsia="zh-CN" w:bidi="ar-SA"/>
    </w:rPr>
  </w:style>
  <w:style w:type="paragraph" w:customStyle="1" w:styleId="19">
    <w:name w:val="附录标识"/>
    <w:basedOn w:val="1"/>
    <w:next w:val="16"/>
    <w:qFormat/>
    <w:uiPriority w:val="0"/>
    <w:pPr>
      <w:keepNext/>
      <w:widowControl/>
      <w:numPr>
        <w:ilvl w:val="0"/>
        <w:numId w:val="2"/>
      </w:numPr>
      <w:shd w:val="clear" w:color="FFFFFF" w:fill="FFFFFF"/>
      <w:tabs>
        <w:tab w:val="left" w:pos="360"/>
        <w:tab w:val="left" w:pos="6405"/>
      </w:tabs>
      <w:jc w:val="center"/>
      <w:outlineLvl w:val="0"/>
    </w:pPr>
    <w:rPr>
      <w:rFonts w:ascii="黑体" w:hAnsi="黑体" w:eastAsia="黑体" w:cs="Times New Roman"/>
      <w:kern w:val="0"/>
      <w:szCs w:val="20"/>
    </w:rPr>
  </w:style>
  <w:style w:type="paragraph" w:customStyle="1" w:styleId="20">
    <w:name w:val="标准文件_附录标识"/>
    <w:next w:val="15"/>
    <w:qFormat/>
    <w:uiPriority w:val="0"/>
    <w:pPr>
      <w:shd w:val="clear" w:color="FFFFFF" w:fill="FFFFFF"/>
      <w:tabs>
        <w:tab w:val="left" w:pos="6406"/>
      </w:tabs>
      <w:spacing w:before="25" w:beforeLines="25" w:after="50" w:afterLines="50"/>
      <w:jc w:val="center"/>
      <w:outlineLvl w:val="0"/>
    </w:pPr>
    <w:rPr>
      <w:rFonts w:ascii="黑体" w:hAnsi="Times New Roman" w:eastAsia="黑体" w:cs="Times New Roman"/>
      <w:sz w:val="21"/>
      <w:lang w:val="en-US" w:eastAsia="zh-CN" w:bidi="ar-SA"/>
    </w:rPr>
  </w:style>
  <w:style w:type="paragraph" w:customStyle="1" w:styleId="21">
    <w:name w:val="附录章标题"/>
    <w:next w:val="16"/>
    <w:qFormat/>
    <w:uiPriority w:val="0"/>
    <w:pPr>
      <w:numPr>
        <w:ilvl w:val="1"/>
        <w:numId w:val="2"/>
      </w:numPr>
      <w:tabs>
        <w:tab w:val="left" w:pos="360"/>
      </w:tabs>
      <w:wordWrap w:val="0"/>
      <w:overflowPunct w:val="0"/>
      <w:autoSpaceDE w:val="0"/>
      <w:spacing w:before="50" w:beforeLines="50" w:after="50" w:afterLines="50"/>
      <w:jc w:val="both"/>
      <w:textAlignment w:val="baseline"/>
      <w:outlineLvl w:val="1"/>
    </w:pPr>
    <w:rPr>
      <w:rFonts w:ascii="黑体" w:hAnsi="黑体" w:eastAsia="黑体" w:cs="Times New Roman"/>
      <w:kern w:val="21"/>
      <w:sz w:val="21"/>
      <w:lang w:val="en-US" w:eastAsia="zh-CN" w:bidi="ar-SA"/>
    </w:rPr>
  </w:style>
  <w:style w:type="paragraph" w:customStyle="1" w:styleId="22">
    <w:name w:val="附录一级条标题"/>
    <w:basedOn w:val="21"/>
    <w:next w:val="16"/>
    <w:qFormat/>
    <w:uiPriority w:val="0"/>
    <w:pPr>
      <w:numPr>
        <w:ilvl w:val="2"/>
      </w:numPr>
      <w:autoSpaceDN w:val="0"/>
      <w:ind w:left="0"/>
      <w:outlineLvl w:val="2"/>
    </w:pPr>
  </w:style>
  <w:style w:type="paragraph" w:customStyle="1" w:styleId="23">
    <w:name w:val="封面标准英文名称"/>
    <w:qFormat/>
    <w:uiPriority w:val="0"/>
    <w:pPr>
      <w:widowControl w:val="0"/>
      <w:spacing w:line="360" w:lineRule="exact"/>
      <w:jc w:val="center"/>
    </w:pPr>
    <w:rPr>
      <w:rFonts w:ascii="Times New Roman" w:hAnsi="Times New Roman" w:eastAsia="宋体" w:cs="Times New Roman"/>
      <w:sz w:val="28"/>
      <w:lang w:val="en-US" w:eastAsia="zh-CN" w:bidi="ar-SA"/>
    </w:rPr>
  </w:style>
  <w:style w:type="paragraph" w:customStyle="1" w:styleId="24">
    <w:name w:val="标准文件_正文标准名称"/>
    <w:qFormat/>
    <w:uiPriority w:val="0"/>
    <w:pPr>
      <w:spacing w:before="560" w:after="640" w:line="400" w:lineRule="exact"/>
      <w:jc w:val="center"/>
    </w:pPr>
    <w:rPr>
      <w:rFonts w:ascii="黑体" w:hAnsi="黑体" w:eastAsia="黑体" w:cs="Times New Roman"/>
      <w:kern w:val="2"/>
      <w:sz w:val="32"/>
      <w:szCs w:val="32"/>
      <w:lang w:val="en-US" w:eastAsia="zh-CN" w:bidi="ar-SA"/>
    </w:rPr>
  </w:style>
  <w:style w:type="paragraph" w:customStyle="1" w:styleId="25">
    <w:name w:val="标准文件_术语条一"/>
    <w:basedOn w:val="26"/>
    <w:next w:val="15"/>
    <w:qFormat/>
    <w:uiPriority w:val="0"/>
    <w:rPr>
      <w:rFonts w:ascii="黑体" w:hAnsi="黑体" w:eastAsia="黑体" w:cs="黑体"/>
    </w:rPr>
  </w:style>
  <w:style w:type="paragraph" w:customStyle="1" w:styleId="26">
    <w:name w:val="标准文件_一级无标题"/>
    <w:basedOn w:val="27"/>
    <w:qFormat/>
    <w:uiPriority w:val="0"/>
    <w:pPr>
      <w:spacing w:before="0" w:beforeLines="0" w:after="0" w:afterLines="0"/>
      <w:outlineLvl w:val="9"/>
    </w:pPr>
    <w:rPr>
      <w:rFonts w:ascii="宋体" w:eastAsia="宋体"/>
    </w:rPr>
  </w:style>
  <w:style w:type="paragraph" w:customStyle="1" w:styleId="27">
    <w:name w:val="标准文件_一级条标题"/>
    <w:basedOn w:val="28"/>
    <w:next w:val="15"/>
    <w:qFormat/>
    <w:uiPriority w:val="0"/>
    <w:pPr>
      <w:numPr>
        <w:ilvl w:val="2"/>
      </w:numPr>
      <w:spacing w:before="50" w:beforeLines="50" w:after="50" w:afterLines="50"/>
      <w:outlineLvl w:val="1"/>
    </w:pPr>
  </w:style>
  <w:style w:type="paragraph" w:customStyle="1" w:styleId="28">
    <w:name w:val="标准文件_章标题"/>
    <w:next w:val="15"/>
    <w:qFormat/>
    <w:uiPriority w:val="0"/>
    <w:pPr>
      <w:numPr>
        <w:ilvl w:val="1"/>
        <w:numId w:val="3"/>
      </w:numPr>
      <w:spacing w:before="100" w:beforeLines="100" w:after="100" w:afterLines="100"/>
      <w:jc w:val="both"/>
      <w:outlineLvl w:val="0"/>
    </w:pPr>
    <w:rPr>
      <w:rFonts w:ascii="黑体" w:hAnsi="Times New Roman" w:eastAsia="黑体" w:cs="Times New Roman"/>
      <w:sz w:val="21"/>
      <w:lang w:val="en-US" w:eastAsia="zh-CN" w:bidi="ar-SA"/>
    </w:rPr>
  </w:style>
  <w:style w:type="paragraph" w:customStyle="1" w:styleId="29">
    <w:name w:val="标准文件_二级条标题"/>
    <w:next w:val="15"/>
    <w:qFormat/>
    <w:uiPriority w:val="0"/>
    <w:pPr>
      <w:widowControl w:val="0"/>
      <w:numPr>
        <w:ilvl w:val="3"/>
        <w:numId w:val="3"/>
      </w:numPr>
      <w:spacing w:before="50" w:beforeLines="50" w:after="50" w:afterLines="50"/>
      <w:jc w:val="both"/>
      <w:outlineLvl w:val="2"/>
    </w:pPr>
    <w:rPr>
      <w:rFonts w:ascii="黑体" w:hAnsi="Times New Roman" w:eastAsia="黑体" w:cs="Times New Roman"/>
      <w:sz w:val="21"/>
      <w:lang w:val="en-US" w:eastAsia="zh-CN" w:bidi="ar-SA"/>
    </w:rPr>
  </w:style>
  <w:style w:type="paragraph" w:customStyle="1" w:styleId="30">
    <w:name w:val="标准文件_三级无标题"/>
    <w:basedOn w:val="31"/>
    <w:qFormat/>
    <w:uiPriority w:val="0"/>
    <w:pPr>
      <w:spacing w:before="0" w:beforeLines="0" w:after="0" w:afterLines="0"/>
      <w:outlineLvl w:val="9"/>
    </w:pPr>
    <w:rPr>
      <w:rFonts w:ascii="宋体" w:eastAsia="宋体"/>
    </w:rPr>
  </w:style>
  <w:style w:type="paragraph" w:customStyle="1" w:styleId="31">
    <w:name w:val="标准文件_三级条标题"/>
    <w:basedOn w:val="29"/>
    <w:next w:val="15"/>
    <w:qFormat/>
    <w:uiPriority w:val="0"/>
    <w:pPr>
      <w:widowControl/>
      <w:numPr>
        <w:ilvl w:val="4"/>
      </w:numPr>
      <w:outlineLvl w:val="3"/>
    </w:pPr>
  </w:style>
  <w:style w:type="paragraph" w:customStyle="1" w:styleId="32">
    <w:name w:val="标准文件_一级项"/>
    <w:qFormat/>
    <w:uiPriority w:val="0"/>
    <w:pPr>
      <w:numPr>
        <w:ilvl w:val="0"/>
        <w:numId w:val="4"/>
      </w:numPr>
    </w:pPr>
    <w:rPr>
      <w:rFonts w:ascii="宋体" w:hAnsi="Times New Roman" w:eastAsia="宋体" w:cs="Times New Roman"/>
      <w:sz w:val="21"/>
      <w:lang w:val="en-US" w:eastAsia="zh-CN" w:bidi="ar-SA"/>
    </w:rPr>
  </w:style>
  <w:style w:type="paragraph" w:customStyle="1" w:styleId="33">
    <w:name w:val="标准文件_字母编号列项（一级）"/>
    <w:qFormat/>
    <w:uiPriority w:val="0"/>
    <w:pPr>
      <w:numPr>
        <w:ilvl w:val="0"/>
        <w:numId w:val="5"/>
      </w:numPr>
      <w:jc w:val="both"/>
    </w:pPr>
    <w:rPr>
      <w:rFonts w:ascii="宋体" w:hAnsi="Times New Roman" w:eastAsia="宋体" w:cs="Times New Roman"/>
      <w:sz w:val="21"/>
      <w:lang w:val="en-US" w:eastAsia="zh-CN" w:bidi="ar-SA"/>
    </w:rPr>
  </w:style>
  <w:style w:type="paragraph" w:customStyle="1" w:styleId="34">
    <w:name w:val="标准文件_正文表标题"/>
    <w:next w:val="15"/>
    <w:qFormat/>
    <w:uiPriority w:val="0"/>
    <w:pPr>
      <w:numPr>
        <w:ilvl w:val="0"/>
        <w:numId w:val="6"/>
      </w:numPr>
      <w:tabs>
        <w:tab w:val="left" w:pos="0"/>
      </w:tabs>
      <w:spacing w:before="50" w:beforeLines="50" w:after="50" w:afterLines="50"/>
      <w:jc w:val="center"/>
    </w:pPr>
    <w:rPr>
      <w:rFonts w:ascii="黑体" w:hAnsi="Times New Roman" w:eastAsia="黑体" w:cs="Times New Roman"/>
      <w:sz w:val="21"/>
      <w:lang w:val="en-US" w:eastAsia="zh-CN" w:bidi="ar-SA"/>
    </w:rPr>
  </w:style>
  <w:style w:type="paragraph" w:customStyle="1" w:styleId="35">
    <w:name w:val="标准文件_表格"/>
    <w:basedOn w:val="15"/>
    <w:qFormat/>
    <w:uiPriority w:val="0"/>
    <w:pPr>
      <w:ind w:firstLine="0" w:firstLineChars="0"/>
      <w:jc w:val="center"/>
    </w:pPr>
    <w:rPr>
      <w:sz w:val="18"/>
    </w:rPr>
  </w:style>
  <w:style w:type="paragraph" w:customStyle="1" w:styleId="36">
    <w:name w:val="标准文件_正文公式"/>
    <w:basedOn w:val="1"/>
    <w:next w:val="37"/>
    <w:qFormat/>
    <w:uiPriority w:val="0"/>
    <w:pPr>
      <w:tabs>
        <w:tab w:val="center" w:pos="4678"/>
        <w:tab w:val="right" w:leader="middleDot" w:pos="9356"/>
      </w:tabs>
      <w:spacing w:line="240" w:lineRule="auto"/>
    </w:pPr>
    <w:rPr>
      <w:rFonts w:ascii="宋体" w:hAnsi="宋体"/>
    </w:rPr>
  </w:style>
  <w:style w:type="paragraph" w:customStyle="1" w:styleId="37">
    <w:name w:val="标准文件_标准正文"/>
    <w:basedOn w:val="1"/>
    <w:next w:val="15"/>
    <w:qFormat/>
    <w:uiPriority w:val="0"/>
    <w:pPr>
      <w:snapToGrid w:val="0"/>
      <w:ind w:firstLine="200" w:firstLineChars="200"/>
    </w:pPr>
    <w:rPr>
      <w:kern w:val="0"/>
    </w:rPr>
  </w:style>
  <w:style w:type="paragraph" w:customStyle="1" w:styleId="38">
    <w:name w:val="标准文件_附录表标题"/>
    <w:next w:val="15"/>
    <w:qFormat/>
    <w:uiPriority w:val="0"/>
    <w:pPr>
      <w:numPr>
        <w:ilvl w:val="1"/>
        <w:numId w:val="7"/>
      </w:numPr>
      <w:adjustRightInd w:val="0"/>
      <w:snapToGrid w:val="0"/>
      <w:spacing w:before="50" w:beforeLines="50" w:after="50" w:afterLines="50"/>
      <w:jc w:val="center"/>
      <w:textAlignment w:val="baseline"/>
    </w:pPr>
    <w:rPr>
      <w:rFonts w:ascii="黑体" w:hAnsi="Times New Roman" w:eastAsia="黑体" w:cs="Times New Roman"/>
      <w:kern w:val="21"/>
      <w:sz w:val="21"/>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header" Target="header5.xml"/><Relationship Id="rId7" Type="http://schemas.openxmlformats.org/officeDocument/2006/relationships/header" Target="header4.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9" Type="http://schemas.openxmlformats.org/officeDocument/2006/relationships/glossaryDocument" Target="glossary/document.xml"/><Relationship Id="rId18" Type="http://schemas.openxmlformats.org/officeDocument/2006/relationships/fontTable" Target="fontTable.xml"/><Relationship Id="rId17" Type="http://schemas.openxmlformats.org/officeDocument/2006/relationships/numbering" Target="numbering.xml"/><Relationship Id="rId16" Type="http://schemas.openxmlformats.org/officeDocument/2006/relationships/customXml" Target="../customXml/item1.xml"/><Relationship Id="rId15" Type="http://schemas.openxmlformats.org/officeDocument/2006/relationships/image" Target="media/image3.jpeg"/><Relationship Id="rId14" Type="http://schemas.openxmlformats.org/officeDocument/2006/relationships/image" Target="media/image2.png"/><Relationship Id="rId13" Type="http://schemas.openxmlformats.org/officeDocument/2006/relationships/theme" Target="theme/theme1.xml"/><Relationship Id="rId12" Type="http://schemas.openxmlformats.org/officeDocument/2006/relationships/footer" Target="footer4.xml"/><Relationship Id="rId11" Type="http://schemas.openxmlformats.org/officeDocument/2006/relationships/header" Target="header6.xml"/><Relationship Id="rId10" Type="http://schemas.openxmlformats.org/officeDocument/2006/relationships/footer" Target="footer3.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1.jpeg"/></Relationships>
</file>

<file path=word/_rels/header6.xml.rels><?xml version="1.0" encoding="UTF-8" standalone="yes"?>
<Relationships xmlns="http://schemas.openxmlformats.org/package/2006/relationships"><Relationship Id="rId1" Type="http://schemas.openxmlformats.org/officeDocument/2006/relationships/image" Target="media/image1.jpeg"/></Relationships>
</file>

<file path=word/glossary/_rels/document.xml.rels><?xml version="1.0" encoding="UTF-8" standalone="yes"?>
<Relationships xmlns="http://schemas.openxmlformats.org/package/2006/relationships"><Relationship Id="rId3"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docParts>
    <w:docPart>
      <w:docPartPr>
        <w:name w:val="{38b498ac-57e3-4d70-a69c-8a6c8c9c2d80}"/>
        <w:style w:val=""/>
        <w:category>
          <w:name w:val="常规"/>
          <w:gallery w:val="placeholder"/>
        </w:category>
        <w:types>
          <w:type w:val="bbPlcHdr"/>
        </w:types>
        <w:behaviors>
          <w:behavior w:val="content"/>
        </w:behaviors>
        <w:description w:val=""/>
        <w:guid w:val="{38b498ac-57e3-4d70-a69c-8a6c8c9c2d80}"/>
      </w:docPartPr>
      <w:docPartBody>
        <w:p w14:paraId="251BB738">
          <w:pPr>
            <w:pStyle w:val="2"/>
          </w:pPr>
          <w:r>
            <w:rPr>
              <w:rStyle w:val="3"/>
              <w:rFonts w:hint="eastAsia"/>
            </w:rPr>
            <w:t>单击或点击此处输入文字。</w:t>
          </w:r>
        </w:p>
      </w:docPartBody>
    </w:docPart>
    <w:docPart>
      <w:docPartPr>
        <w:name w:val="{28f67b24-bf02-4eb0-985a-56460364374e}"/>
        <w:style w:val=""/>
        <w:category>
          <w:name w:val="常规"/>
          <w:gallery w:val="placeholder"/>
        </w:category>
        <w:types>
          <w:type w:val="bbPlcHdr"/>
        </w:types>
        <w:behaviors>
          <w:behavior w:val="content"/>
        </w:behaviors>
        <w:description w:val=""/>
        <w:guid w:val="{28f67b24-bf02-4eb0-985a-56460364374e}"/>
      </w:docPartPr>
      <w:docPartBody>
        <w:p w14:paraId="20C71726">
          <w:pPr>
            <w:pStyle w:val="4"/>
          </w:pPr>
          <w:r>
            <w:rPr>
              <w:rStyle w:val="3"/>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compat>
    <w:useFELayout/>
    <w:splitPgBreakAndParaMark/>
    <w:compatSetting w:name="compatibilityMode" w:uri="http://schemas.microsoft.com/office/word" w:val="14"/>
  </w:compat>
  <w:rsids>
    <w:rsidRoot w:val="00000000"/>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glossary/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iPriority="1" w:name="Default Paragraph Font"/>
    <w:lsdException w:qFormat="1" w:unhideWhenUsed="0" w:uiPriority="99" w:name="Placeholder Text"/>
  </w:latentStyles>
  <w:style w:type="character" w:default="1" w:styleId="1">
    <w:name w:val="Default Paragraph Font"/>
    <w:semiHidden/>
    <w:unhideWhenUsed/>
    <w:qFormat/>
    <w:uiPriority w:val="1"/>
  </w:style>
  <w:style w:type="paragraph" w:customStyle="1" w:styleId="2">
    <w:name w:val="9B3BEDB4F2724F9D81F4444A5CCE266D"/>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character" w:styleId="3">
    <w:name w:val="Placeholder Text"/>
    <w:basedOn w:val="1"/>
    <w:semiHidden/>
    <w:qFormat/>
    <w:uiPriority w:val="99"/>
    <w:rPr>
      <w:color w:val="808080"/>
    </w:rPr>
  </w:style>
  <w:style w:type="paragraph" w:customStyle="1" w:styleId="4">
    <w:name w:val="904DA047CBB94B408D5F9DC8398F0F02"/>
    <w:qFormat/>
    <w:uiPriority w:val="0"/>
    <w:pPr>
      <w:widowControl w:val="0"/>
      <w:jc w:val="both"/>
    </w:pPr>
    <w:rPr>
      <w:rFonts w:asciiTheme="minorHAnsi" w:hAnsiTheme="minorHAnsi" w:eastAsiaTheme="minorEastAsia" w:cstheme="minorBidi"/>
      <w:kern w:val="2"/>
      <w:sz w:val="21"/>
      <w:szCs w:val="22"/>
      <w:lang w:val="en-US" w:eastAsia="zh-CN" w:bidi="ar-SA"/>
    </w:rPr>
  </w:style>
</w:style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11</Pages>
  <Words>1929</Words>
  <Characters>2226</Characters>
  <Lines>0</Lines>
  <Paragraphs>0</Paragraphs>
  <TotalTime>15</TotalTime>
  <ScaleCrop>false</ScaleCrop>
  <LinksUpToDate>false</LinksUpToDate>
  <CharactersWithSpaces>2438</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2025-11-04T06:40:00Z</dcterms:created>
  <dc:creator>沐雨轻澄</dc:creator>
  <cp:lastModifiedBy>王珏旻</cp:lastModifiedBy>
  <dcterms:modified xsi:type="dcterms:W3CDTF">2026-03-09T03:35:42Z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A891FC6CB21E455BB032AE9A05A13301_13</vt:lpwstr>
  </property>
  <property fmtid="{D5CDD505-2E9C-101B-9397-08002B2CF9AE}" pid="4" name="KSOTemplateDocerSaveRecord">
    <vt:lpwstr>eyJoZGlkIjoiZmJiZTM2ZGE1Yzc5YmEwZjhhYWIzMDA4YzM5Y2NhMjciLCJ1c2VySWQiOiIzODk1NjY5ODUifQ==</vt:lpwstr>
  </property>
</Properties>
</file>